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49" w:rsidRPr="002511A1" w:rsidRDefault="003C3D50" w:rsidP="003C3D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1A1">
        <w:rPr>
          <w:rFonts w:ascii="Times New Roman" w:hAnsi="Times New Roman" w:cs="Times New Roman"/>
          <w:sz w:val="24"/>
          <w:szCs w:val="24"/>
        </w:rPr>
        <w:t>REFORMA LEGISLATIVA DE LA DEFENSA JURIDICA DEL ESTADO PERUANO EN LOS GOBIERNOS DE TURNO</w:t>
      </w:r>
    </w:p>
    <w:p w:rsidR="003C3D50" w:rsidRPr="002511A1" w:rsidRDefault="003C3D50" w:rsidP="003C3D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1A1">
        <w:rPr>
          <w:rFonts w:ascii="Times New Roman" w:hAnsi="Times New Roman" w:cs="Times New Roman"/>
          <w:sz w:val="24"/>
          <w:szCs w:val="24"/>
        </w:rPr>
        <w:t>LEGISLATIVE REFORM OF THE LEGAL DEFENSE OF THE PERUVIAN STATE IN CURRENT GOVERNMENTS</w:t>
      </w:r>
    </w:p>
    <w:p w:rsidR="003C3D50" w:rsidRPr="002511A1" w:rsidRDefault="003C3D50" w:rsidP="003C3D5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1A1">
        <w:rPr>
          <w:rFonts w:ascii="Times New Roman" w:hAnsi="Times New Roman" w:cs="Times New Roman"/>
          <w:sz w:val="24"/>
          <w:szCs w:val="24"/>
        </w:rPr>
        <w:t>MARCO ANTONIO VELIZ CHAMBI</w:t>
      </w:r>
      <w:r w:rsidRPr="002511A1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</w:p>
    <w:p w:rsidR="003C3D50" w:rsidRPr="002511A1" w:rsidRDefault="003C3D50" w:rsidP="003C3D5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1A1">
        <w:rPr>
          <w:rFonts w:ascii="Times New Roman" w:hAnsi="Times New Roman" w:cs="Times New Roman"/>
          <w:b/>
          <w:bCs/>
          <w:sz w:val="24"/>
          <w:szCs w:val="24"/>
        </w:rPr>
        <w:t xml:space="preserve">Resumen </w:t>
      </w:r>
    </w:p>
    <w:p w:rsidR="00387130" w:rsidRPr="000C1F06" w:rsidRDefault="00954E58" w:rsidP="000C1F0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estudio tuvo</w:t>
      </w:r>
      <w:r w:rsidR="006954E2">
        <w:rPr>
          <w:rFonts w:ascii="Times New Roman" w:hAnsi="Times New Roman" w:cs="Times New Roman"/>
          <w:sz w:val="24"/>
          <w:szCs w:val="24"/>
        </w:rPr>
        <w:t xml:space="preserve"> como objetivo </w:t>
      </w:r>
      <w:r>
        <w:rPr>
          <w:rFonts w:ascii="Times New Roman" w:hAnsi="Times New Roman" w:cs="Times New Roman"/>
          <w:sz w:val="24"/>
          <w:szCs w:val="24"/>
        </w:rPr>
        <w:t>proponer un</w:t>
      </w:r>
      <w:r w:rsidR="002511A1" w:rsidRPr="002511A1">
        <w:rPr>
          <w:rFonts w:ascii="Times New Roman" w:hAnsi="Times New Roman" w:cs="Times New Roman"/>
          <w:sz w:val="24"/>
          <w:szCs w:val="24"/>
        </w:rPr>
        <w:t xml:space="preserve"> nuevo</w:t>
      </w:r>
      <w:r>
        <w:rPr>
          <w:rFonts w:ascii="Times New Roman" w:hAnsi="Times New Roman" w:cs="Times New Roman"/>
          <w:sz w:val="24"/>
          <w:szCs w:val="24"/>
        </w:rPr>
        <w:t xml:space="preserve"> sistema</w:t>
      </w:r>
      <w:r w:rsidR="002511A1" w:rsidRPr="002511A1">
        <w:rPr>
          <w:rFonts w:ascii="Times New Roman" w:hAnsi="Times New Roman" w:cs="Times New Roman"/>
          <w:sz w:val="24"/>
          <w:szCs w:val="24"/>
        </w:rPr>
        <w:t xml:space="preserve"> para la Designación de los Procuradores del Estado Peruano. </w:t>
      </w:r>
      <w:r>
        <w:rPr>
          <w:rFonts w:ascii="Times New Roman" w:hAnsi="Times New Roman" w:cs="Times New Roman"/>
          <w:sz w:val="24"/>
          <w:szCs w:val="24"/>
        </w:rPr>
        <w:t xml:space="preserve">El cual se desarrolló bajo </w:t>
      </w:r>
      <w:r w:rsidR="00D01D02">
        <w:rPr>
          <w:rFonts w:ascii="Times New Roman" w:hAnsi="Times New Roman" w:cs="Times New Roman"/>
          <w:sz w:val="24"/>
          <w:szCs w:val="24"/>
        </w:rPr>
        <w:t xml:space="preserve">el enfoque cualitativo, </w:t>
      </w:r>
      <w:r w:rsidR="002511A1">
        <w:rPr>
          <w:rFonts w:ascii="Times New Roman" w:hAnsi="Times New Roman" w:cs="Times New Roman"/>
          <w:sz w:val="24"/>
          <w:szCs w:val="24"/>
        </w:rPr>
        <w:t>metodología hermenéutic</w:t>
      </w:r>
      <w:r>
        <w:rPr>
          <w:rFonts w:ascii="Times New Roman" w:hAnsi="Times New Roman" w:cs="Times New Roman"/>
          <w:sz w:val="24"/>
          <w:szCs w:val="24"/>
        </w:rPr>
        <w:t>a. La población</w:t>
      </w:r>
      <w:r w:rsidR="00251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fue </w:t>
      </w:r>
      <w:r w:rsidR="00863925">
        <w:rPr>
          <w:rFonts w:ascii="Times New Roman" w:hAnsi="Times New Roman" w:cs="Times New Roman"/>
          <w:sz w:val="24"/>
          <w:szCs w:val="24"/>
        </w:rPr>
        <w:t>constituida</w:t>
      </w:r>
      <w:r>
        <w:rPr>
          <w:rFonts w:ascii="Times New Roman" w:hAnsi="Times New Roman" w:cs="Times New Roman"/>
          <w:sz w:val="24"/>
          <w:szCs w:val="24"/>
        </w:rPr>
        <w:t xml:space="preserve"> por los </w:t>
      </w:r>
      <w:r w:rsidR="002511A1">
        <w:rPr>
          <w:rFonts w:ascii="Times New Roman" w:hAnsi="Times New Roman" w:cs="Times New Roman"/>
          <w:sz w:val="24"/>
          <w:szCs w:val="24"/>
        </w:rPr>
        <w:t>casos</w:t>
      </w:r>
      <w:r w:rsidR="006954E2">
        <w:rPr>
          <w:rFonts w:ascii="Times New Roman" w:hAnsi="Times New Roman" w:cs="Times New Roman"/>
          <w:sz w:val="24"/>
          <w:szCs w:val="24"/>
        </w:rPr>
        <w:t xml:space="preserve"> de corrupción denunciados por parte de los procuradores </w:t>
      </w:r>
      <w:r w:rsidR="002511A1">
        <w:rPr>
          <w:rFonts w:ascii="Times New Roman" w:hAnsi="Times New Roman" w:cs="Times New Roman"/>
          <w:sz w:val="24"/>
          <w:szCs w:val="24"/>
        </w:rPr>
        <w:t xml:space="preserve">judiciales, </w:t>
      </w:r>
      <w:r w:rsidR="006954E2">
        <w:rPr>
          <w:rFonts w:ascii="Times New Roman" w:hAnsi="Times New Roman" w:cs="Times New Roman"/>
          <w:sz w:val="24"/>
          <w:szCs w:val="24"/>
        </w:rPr>
        <w:t xml:space="preserve">el cual se desarrolló </w:t>
      </w:r>
      <w:r w:rsidR="002511A1">
        <w:rPr>
          <w:rFonts w:ascii="Times New Roman" w:hAnsi="Times New Roman" w:cs="Times New Roman"/>
          <w:sz w:val="24"/>
          <w:szCs w:val="24"/>
        </w:rPr>
        <w:t xml:space="preserve">bajo </w:t>
      </w:r>
      <w:r w:rsidR="00D01D02">
        <w:rPr>
          <w:rFonts w:ascii="Times New Roman" w:hAnsi="Times New Roman" w:cs="Times New Roman"/>
          <w:sz w:val="24"/>
          <w:szCs w:val="24"/>
        </w:rPr>
        <w:t>la aplicación de</w:t>
      </w:r>
      <w:r w:rsidR="002511A1">
        <w:rPr>
          <w:rFonts w:ascii="Times New Roman" w:hAnsi="Times New Roman" w:cs="Times New Roman"/>
          <w:sz w:val="24"/>
          <w:szCs w:val="24"/>
        </w:rPr>
        <w:t xml:space="preserve"> técnicas e instrumentos de análisis documental. </w:t>
      </w:r>
      <w:r w:rsidR="006954E2">
        <w:rPr>
          <w:rFonts w:ascii="Times New Roman" w:hAnsi="Times New Roman" w:cs="Times New Roman"/>
          <w:sz w:val="24"/>
          <w:szCs w:val="24"/>
        </w:rPr>
        <w:t>Ello</w:t>
      </w:r>
      <w:r w:rsidR="00D01D02">
        <w:rPr>
          <w:rFonts w:ascii="Times New Roman" w:hAnsi="Times New Roman" w:cs="Times New Roman"/>
          <w:sz w:val="24"/>
          <w:szCs w:val="24"/>
        </w:rPr>
        <w:t xml:space="preserve"> permitió concluir que l</w:t>
      </w:r>
      <w:r w:rsidR="002511A1" w:rsidRPr="002511A1">
        <w:rPr>
          <w:rFonts w:ascii="Times New Roman" w:hAnsi="Times New Roman" w:cs="Times New Roman"/>
          <w:bCs/>
          <w:sz w:val="24"/>
          <w:szCs w:val="24"/>
        </w:rPr>
        <w:t>a procuraduría publica defiende al colectivo</w:t>
      </w:r>
      <w:r w:rsidR="005B6B8C">
        <w:rPr>
          <w:rFonts w:ascii="Times New Roman" w:hAnsi="Times New Roman" w:cs="Times New Roman"/>
          <w:bCs/>
          <w:sz w:val="24"/>
          <w:szCs w:val="24"/>
        </w:rPr>
        <w:t xml:space="preserve"> del Estado, debido a que esta c</w:t>
      </w:r>
      <w:r w:rsidR="00387130">
        <w:rPr>
          <w:rFonts w:ascii="Times New Roman" w:hAnsi="Times New Roman" w:cs="Times New Roman"/>
          <w:bCs/>
          <w:sz w:val="24"/>
          <w:szCs w:val="24"/>
        </w:rPr>
        <w:t xml:space="preserve">ela por el interés del Estado, en la protección y vigilancia de los delitos. Por consiguiente, </w:t>
      </w:r>
      <w:r w:rsidR="000C1F06" w:rsidRPr="000C1F06">
        <w:rPr>
          <w:rFonts w:ascii="Times New Roman" w:hAnsi="Times New Roman" w:cs="Times New Roman"/>
          <w:bCs/>
          <w:sz w:val="24"/>
          <w:szCs w:val="24"/>
        </w:rPr>
        <w:t>la procuraduría</w:t>
      </w:r>
      <w:r w:rsidR="000C1F06">
        <w:rPr>
          <w:rFonts w:ascii="Times New Roman" w:hAnsi="Times New Roman" w:cs="Times New Roman"/>
          <w:bCs/>
          <w:sz w:val="24"/>
          <w:szCs w:val="24"/>
        </w:rPr>
        <w:t xml:space="preserve"> es un instrumento fundamental en contra de la corrupción, con la finalidad de contrarrestar y mejorar la efectividad del procedimiento en la sanción que deberían recibir quienes cometen el acto de corrupción.</w:t>
      </w:r>
    </w:p>
    <w:p w:rsidR="003C3D50" w:rsidRDefault="003C3D50" w:rsidP="003C3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E2">
        <w:rPr>
          <w:rFonts w:ascii="Times New Roman" w:hAnsi="Times New Roman" w:cs="Times New Roman"/>
          <w:b/>
          <w:sz w:val="24"/>
          <w:szCs w:val="24"/>
        </w:rPr>
        <w:t>Palabras claves</w:t>
      </w:r>
      <w:r w:rsidR="002511A1" w:rsidRPr="006954E2">
        <w:rPr>
          <w:rFonts w:ascii="Times New Roman" w:hAnsi="Times New Roman" w:cs="Times New Roman"/>
          <w:b/>
          <w:sz w:val="24"/>
          <w:szCs w:val="24"/>
        </w:rPr>
        <w:t>:</w:t>
      </w:r>
      <w:r w:rsidR="002511A1">
        <w:rPr>
          <w:rFonts w:ascii="Times New Roman" w:hAnsi="Times New Roman" w:cs="Times New Roman"/>
          <w:sz w:val="24"/>
          <w:szCs w:val="24"/>
        </w:rPr>
        <w:t xml:space="preserve"> defensa jurídica, delito, interés del Estado, procuraduría </w:t>
      </w:r>
    </w:p>
    <w:p w:rsidR="000C1F06" w:rsidRPr="002511A1" w:rsidRDefault="000C1F06" w:rsidP="003C3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50" w:rsidRPr="002511A1" w:rsidRDefault="002511A1" w:rsidP="003C3D5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11A1">
        <w:rPr>
          <w:rFonts w:ascii="Times New Roman" w:hAnsi="Times New Roman" w:cs="Times New Roman"/>
          <w:b/>
          <w:bCs/>
          <w:sz w:val="24"/>
          <w:szCs w:val="24"/>
        </w:rPr>
        <w:t>Abstract</w:t>
      </w:r>
      <w:proofErr w:type="spellEnd"/>
    </w:p>
    <w:p w:rsidR="002511A1" w:rsidRDefault="00565A84" w:rsidP="002511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propose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a new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Appointment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Attorneys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Peruvian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hermeneutic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constituted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cases of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corruption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denounced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judicial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prosecutors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documentary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conclude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prosecutor's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defends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collective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jealous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State's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surveillance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crimes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Consequently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attorney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general's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a fundamental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instrument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corruption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counteracting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sanction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commit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corruption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A84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565A84">
        <w:rPr>
          <w:rFonts w:ascii="Times New Roman" w:hAnsi="Times New Roman" w:cs="Times New Roman"/>
          <w:sz w:val="24"/>
          <w:szCs w:val="24"/>
        </w:rPr>
        <w:t>.</w:t>
      </w:r>
    </w:p>
    <w:p w:rsidR="00565A84" w:rsidRPr="002511A1" w:rsidRDefault="00565A84" w:rsidP="002511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A1" w:rsidRDefault="002511A1" w:rsidP="002511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Key </w:t>
      </w:r>
      <w:proofErr w:type="spellStart"/>
      <w:r w:rsidRPr="006954E2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6954E2">
        <w:rPr>
          <w:rFonts w:ascii="Times New Roman" w:hAnsi="Times New Roman" w:cs="Times New Roman"/>
          <w:b/>
          <w:sz w:val="24"/>
          <w:szCs w:val="24"/>
        </w:rPr>
        <w:t>:</w:t>
      </w:r>
      <w:r w:rsidRPr="002511A1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2511A1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251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1A1">
        <w:rPr>
          <w:rFonts w:ascii="Times New Roman" w:hAnsi="Times New Roman" w:cs="Times New Roman"/>
          <w:sz w:val="24"/>
          <w:szCs w:val="24"/>
        </w:rPr>
        <w:t>crime</w:t>
      </w:r>
      <w:proofErr w:type="spellEnd"/>
      <w:r w:rsidRPr="00251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1A1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25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1A1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251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1A1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251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1A1">
        <w:rPr>
          <w:rFonts w:ascii="Times New Roman" w:hAnsi="Times New Roman" w:cs="Times New Roman"/>
          <w:sz w:val="24"/>
          <w:szCs w:val="24"/>
        </w:rPr>
        <w:t>prosecutor's</w:t>
      </w:r>
      <w:proofErr w:type="spellEnd"/>
      <w:r w:rsidRPr="002511A1">
        <w:rPr>
          <w:rFonts w:ascii="Times New Roman" w:hAnsi="Times New Roman" w:cs="Times New Roman"/>
          <w:sz w:val="24"/>
          <w:szCs w:val="24"/>
        </w:rPr>
        <w:t xml:space="preserve"> office</w:t>
      </w:r>
    </w:p>
    <w:p w:rsidR="00565A84" w:rsidRPr="002511A1" w:rsidRDefault="00565A84" w:rsidP="002511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50" w:rsidRPr="006954E2" w:rsidRDefault="00565A84" w:rsidP="003C3D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INTRODUCCION</w:t>
      </w:r>
    </w:p>
    <w:p w:rsidR="003C3D50" w:rsidRPr="002511A1" w:rsidRDefault="00732EBF" w:rsidP="003C3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A1">
        <w:rPr>
          <w:rFonts w:ascii="Times New Roman" w:hAnsi="Times New Roman" w:cs="Times New Roman"/>
          <w:sz w:val="24"/>
          <w:szCs w:val="24"/>
        </w:rPr>
        <w:t xml:space="preserve">El fenómeno de la procuraduría </w:t>
      </w:r>
      <w:r w:rsidR="00972140">
        <w:rPr>
          <w:rFonts w:ascii="Times New Roman" w:hAnsi="Times New Roman" w:cs="Times New Roman"/>
          <w:sz w:val="24"/>
          <w:szCs w:val="24"/>
        </w:rPr>
        <w:t>a lo largo del tiempo ha concurrido</w:t>
      </w:r>
      <w:r w:rsidR="00B161FE" w:rsidRPr="002511A1">
        <w:rPr>
          <w:rFonts w:ascii="Times New Roman" w:hAnsi="Times New Roman" w:cs="Times New Roman"/>
          <w:sz w:val="24"/>
          <w:szCs w:val="24"/>
        </w:rPr>
        <w:t xml:space="preserve"> como un de</w:t>
      </w:r>
      <w:r w:rsidR="00972140">
        <w:rPr>
          <w:rFonts w:ascii="Times New Roman" w:hAnsi="Times New Roman" w:cs="Times New Roman"/>
          <w:sz w:val="24"/>
          <w:szCs w:val="24"/>
        </w:rPr>
        <w:t>fensor jurídico del Estado en los</w:t>
      </w:r>
      <w:r w:rsidR="00B161FE" w:rsidRPr="002511A1">
        <w:rPr>
          <w:rFonts w:ascii="Times New Roman" w:hAnsi="Times New Roman" w:cs="Times New Roman"/>
          <w:sz w:val="24"/>
          <w:szCs w:val="24"/>
        </w:rPr>
        <w:t xml:space="preserve"> gobierno</w:t>
      </w:r>
      <w:r w:rsidR="00972140">
        <w:rPr>
          <w:rFonts w:ascii="Times New Roman" w:hAnsi="Times New Roman" w:cs="Times New Roman"/>
          <w:sz w:val="24"/>
          <w:szCs w:val="24"/>
        </w:rPr>
        <w:t>s</w:t>
      </w:r>
      <w:r w:rsidR="00B161FE" w:rsidRPr="002511A1">
        <w:rPr>
          <w:rFonts w:ascii="Times New Roman" w:hAnsi="Times New Roman" w:cs="Times New Roman"/>
          <w:sz w:val="24"/>
          <w:szCs w:val="24"/>
        </w:rPr>
        <w:t xml:space="preserve"> de turno; sin </w:t>
      </w:r>
      <w:r w:rsidR="004B2932" w:rsidRPr="002511A1">
        <w:rPr>
          <w:rFonts w:ascii="Times New Roman" w:hAnsi="Times New Roman" w:cs="Times New Roman"/>
          <w:sz w:val="24"/>
          <w:szCs w:val="24"/>
        </w:rPr>
        <w:t>embargo,</w:t>
      </w:r>
      <w:r w:rsidR="00B161FE" w:rsidRPr="002511A1">
        <w:rPr>
          <w:rFonts w:ascii="Times New Roman" w:hAnsi="Times New Roman" w:cs="Times New Roman"/>
          <w:sz w:val="24"/>
          <w:szCs w:val="24"/>
        </w:rPr>
        <w:t xml:space="preserve"> el gobierno de turno designa a </w:t>
      </w:r>
      <w:r w:rsidR="004B2932" w:rsidRPr="002511A1">
        <w:rPr>
          <w:rFonts w:ascii="Times New Roman" w:hAnsi="Times New Roman" w:cs="Times New Roman"/>
          <w:sz w:val="24"/>
          <w:szCs w:val="24"/>
        </w:rPr>
        <w:t xml:space="preserve">los </w:t>
      </w:r>
      <w:r w:rsidR="00972140" w:rsidRPr="002511A1">
        <w:rPr>
          <w:rFonts w:ascii="Times New Roman" w:hAnsi="Times New Roman" w:cs="Times New Roman"/>
          <w:sz w:val="24"/>
          <w:szCs w:val="24"/>
        </w:rPr>
        <w:t>procuradores</w:t>
      </w:r>
      <w:r w:rsidR="00B161FE" w:rsidRPr="002511A1">
        <w:rPr>
          <w:rFonts w:ascii="Times New Roman" w:hAnsi="Times New Roman" w:cs="Times New Roman"/>
          <w:sz w:val="24"/>
          <w:szCs w:val="24"/>
        </w:rPr>
        <w:t xml:space="preserve"> </w:t>
      </w:r>
      <w:r w:rsidR="00972140">
        <w:rPr>
          <w:rFonts w:ascii="Times New Roman" w:hAnsi="Times New Roman" w:cs="Times New Roman"/>
          <w:sz w:val="24"/>
          <w:szCs w:val="24"/>
        </w:rPr>
        <w:t>partiendo</w:t>
      </w:r>
      <w:r w:rsidR="00B161FE" w:rsidRPr="002511A1">
        <w:rPr>
          <w:rFonts w:ascii="Times New Roman" w:hAnsi="Times New Roman" w:cs="Times New Roman"/>
          <w:sz w:val="24"/>
          <w:szCs w:val="24"/>
        </w:rPr>
        <w:t xml:space="preserve"> de</w:t>
      </w:r>
      <w:r w:rsidR="00972140">
        <w:rPr>
          <w:rFonts w:ascii="Times New Roman" w:hAnsi="Times New Roman" w:cs="Times New Roman"/>
          <w:sz w:val="24"/>
          <w:szCs w:val="24"/>
        </w:rPr>
        <w:t>l</w:t>
      </w:r>
      <w:r w:rsidR="00B161FE" w:rsidRPr="002511A1">
        <w:rPr>
          <w:rFonts w:ascii="Times New Roman" w:hAnsi="Times New Roman" w:cs="Times New Roman"/>
          <w:sz w:val="24"/>
          <w:szCs w:val="24"/>
        </w:rPr>
        <w:t xml:space="preserve"> voto de confianza, ello limita el trabajo de los procuradores para realizar investigaciones sobre casos de corrupción. Es así, que los procuradores </w:t>
      </w:r>
      <w:r w:rsidR="00972140">
        <w:rPr>
          <w:rFonts w:ascii="Times New Roman" w:hAnsi="Times New Roman" w:cs="Times New Roman"/>
          <w:sz w:val="24"/>
          <w:szCs w:val="24"/>
        </w:rPr>
        <w:t>se vuelven en los</w:t>
      </w:r>
      <w:r w:rsidR="00B161FE" w:rsidRPr="002511A1">
        <w:rPr>
          <w:rFonts w:ascii="Times New Roman" w:hAnsi="Times New Roman" w:cs="Times New Roman"/>
          <w:sz w:val="24"/>
          <w:szCs w:val="24"/>
        </w:rPr>
        <w:t xml:space="preserve"> defensores del interés del Estado, por </w:t>
      </w:r>
      <w:r w:rsidR="004B2932" w:rsidRPr="002511A1">
        <w:rPr>
          <w:rFonts w:ascii="Times New Roman" w:hAnsi="Times New Roman" w:cs="Times New Roman"/>
          <w:sz w:val="24"/>
          <w:szCs w:val="24"/>
        </w:rPr>
        <w:t>ende,</w:t>
      </w:r>
      <w:r w:rsidR="005521DA">
        <w:rPr>
          <w:rFonts w:ascii="Times New Roman" w:hAnsi="Times New Roman" w:cs="Times New Roman"/>
          <w:sz w:val="24"/>
          <w:szCs w:val="24"/>
        </w:rPr>
        <w:t xml:space="preserve"> </w:t>
      </w:r>
      <w:r w:rsidR="00972140">
        <w:rPr>
          <w:rFonts w:ascii="Times New Roman" w:hAnsi="Times New Roman" w:cs="Times New Roman"/>
          <w:sz w:val="24"/>
          <w:szCs w:val="24"/>
        </w:rPr>
        <w:t>tienen la tarea de realizar</w:t>
      </w:r>
      <w:r w:rsidR="00B161FE" w:rsidRPr="002511A1">
        <w:rPr>
          <w:rFonts w:ascii="Times New Roman" w:hAnsi="Times New Roman" w:cs="Times New Roman"/>
          <w:sz w:val="24"/>
          <w:szCs w:val="24"/>
        </w:rPr>
        <w:t xml:space="preserve"> investigaciones donde </w:t>
      </w:r>
      <w:r w:rsidR="00972140">
        <w:rPr>
          <w:rFonts w:ascii="Times New Roman" w:hAnsi="Times New Roman" w:cs="Times New Roman"/>
          <w:sz w:val="24"/>
          <w:szCs w:val="24"/>
        </w:rPr>
        <w:t xml:space="preserve">se </w:t>
      </w:r>
      <w:r w:rsidR="00B161FE" w:rsidRPr="002511A1">
        <w:rPr>
          <w:rFonts w:ascii="Times New Roman" w:hAnsi="Times New Roman" w:cs="Times New Roman"/>
          <w:sz w:val="24"/>
          <w:szCs w:val="24"/>
        </w:rPr>
        <w:t>amerita.</w:t>
      </w:r>
    </w:p>
    <w:p w:rsidR="003C3D50" w:rsidRPr="002511A1" w:rsidRDefault="00972140" w:rsidP="003C3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manera que, </w:t>
      </w:r>
      <w:r w:rsidR="00B161FE" w:rsidRPr="002511A1">
        <w:rPr>
          <w:rFonts w:ascii="Times New Roman" w:hAnsi="Times New Roman" w:cs="Times New Roman"/>
          <w:sz w:val="24"/>
          <w:szCs w:val="24"/>
        </w:rPr>
        <w:t>los procuradores al ser designa</w:t>
      </w:r>
      <w:r w:rsidR="004B2932">
        <w:rPr>
          <w:rFonts w:ascii="Times New Roman" w:hAnsi="Times New Roman" w:cs="Times New Roman"/>
          <w:sz w:val="24"/>
          <w:szCs w:val="24"/>
        </w:rPr>
        <w:t xml:space="preserve">dos por </w:t>
      </w:r>
      <w:r>
        <w:rPr>
          <w:rFonts w:ascii="Times New Roman" w:hAnsi="Times New Roman" w:cs="Times New Roman"/>
          <w:sz w:val="24"/>
          <w:szCs w:val="24"/>
        </w:rPr>
        <w:t>parte d</w:t>
      </w:r>
      <w:r w:rsidR="004B2932">
        <w:rPr>
          <w:rFonts w:ascii="Times New Roman" w:hAnsi="Times New Roman" w:cs="Times New Roman"/>
          <w:sz w:val="24"/>
          <w:szCs w:val="24"/>
        </w:rPr>
        <w:t xml:space="preserve">el gobierno de turno, </w:t>
      </w:r>
      <w:r>
        <w:rPr>
          <w:rFonts w:ascii="Times New Roman" w:hAnsi="Times New Roman" w:cs="Times New Roman"/>
          <w:sz w:val="24"/>
          <w:szCs w:val="24"/>
        </w:rPr>
        <w:t>presentan falencias impidiendo</w:t>
      </w:r>
      <w:r w:rsidR="00B161FE" w:rsidRPr="002511A1">
        <w:rPr>
          <w:rFonts w:ascii="Times New Roman" w:hAnsi="Times New Roman" w:cs="Times New Roman"/>
          <w:sz w:val="24"/>
          <w:szCs w:val="24"/>
        </w:rPr>
        <w:t xml:space="preserve"> el desenvolvimiento independiente de la procuradora, por ello es necesario que esta tenga autonomía, debido a que </w:t>
      </w:r>
      <w:r w:rsidR="004B2932">
        <w:rPr>
          <w:rFonts w:ascii="Times New Roman" w:hAnsi="Times New Roman" w:cs="Times New Roman"/>
          <w:sz w:val="24"/>
          <w:szCs w:val="24"/>
        </w:rPr>
        <w:t>la labor</w:t>
      </w:r>
      <w:r w:rsidR="00B161FE" w:rsidRPr="002511A1">
        <w:rPr>
          <w:rFonts w:ascii="Times New Roman" w:hAnsi="Times New Roman" w:cs="Times New Roman"/>
          <w:sz w:val="24"/>
          <w:szCs w:val="24"/>
        </w:rPr>
        <w:t xml:space="preserve"> que </w:t>
      </w:r>
      <w:r w:rsidR="004B2932">
        <w:rPr>
          <w:rFonts w:ascii="Times New Roman" w:hAnsi="Times New Roman" w:cs="Times New Roman"/>
          <w:sz w:val="24"/>
          <w:szCs w:val="24"/>
        </w:rPr>
        <w:t>realizan</w:t>
      </w:r>
      <w:r w:rsidR="00B161FE" w:rsidRPr="002511A1">
        <w:rPr>
          <w:rFonts w:ascii="Times New Roman" w:hAnsi="Times New Roman" w:cs="Times New Roman"/>
          <w:sz w:val="24"/>
          <w:szCs w:val="24"/>
        </w:rPr>
        <w:t xml:space="preserve"> es primordial</w:t>
      </w:r>
      <w:r>
        <w:rPr>
          <w:rFonts w:ascii="Times New Roman" w:hAnsi="Times New Roman" w:cs="Times New Roman"/>
          <w:sz w:val="24"/>
          <w:szCs w:val="24"/>
        </w:rPr>
        <w:t xml:space="preserve"> en la sociedad</w:t>
      </w:r>
      <w:r w:rsidR="00B161FE" w:rsidRPr="002511A1">
        <w:rPr>
          <w:rFonts w:ascii="Times New Roman" w:hAnsi="Times New Roman" w:cs="Times New Roman"/>
          <w:sz w:val="24"/>
          <w:szCs w:val="24"/>
        </w:rPr>
        <w:t>,</w:t>
      </w:r>
      <w:r w:rsidR="004B2932">
        <w:rPr>
          <w:rFonts w:ascii="Times New Roman" w:hAnsi="Times New Roman" w:cs="Times New Roman"/>
          <w:sz w:val="24"/>
          <w:szCs w:val="24"/>
        </w:rPr>
        <w:t xml:space="preserve"> al </w:t>
      </w:r>
      <w:r>
        <w:rPr>
          <w:rFonts w:ascii="Times New Roman" w:hAnsi="Times New Roman" w:cs="Times New Roman"/>
          <w:sz w:val="24"/>
          <w:szCs w:val="24"/>
        </w:rPr>
        <w:t>tener en este panorama</w:t>
      </w:r>
      <w:r w:rsidR="004B2932">
        <w:rPr>
          <w:rFonts w:ascii="Times New Roman" w:hAnsi="Times New Roman" w:cs="Times New Roman"/>
          <w:sz w:val="24"/>
          <w:szCs w:val="24"/>
        </w:rPr>
        <w:t xml:space="preserve"> dicha falencia es importante dar alternativas para solucionarlo</w:t>
      </w:r>
      <w:r>
        <w:rPr>
          <w:rFonts w:ascii="Times New Roman" w:hAnsi="Times New Roman" w:cs="Times New Roman"/>
          <w:sz w:val="24"/>
          <w:szCs w:val="24"/>
        </w:rPr>
        <w:t>. Con la finalidad de</w:t>
      </w:r>
      <w:r w:rsidR="00B161FE" w:rsidRPr="002511A1">
        <w:rPr>
          <w:rFonts w:ascii="Times New Roman" w:hAnsi="Times New Roman" w:cs="Times New Roman"/>
          <w:sz w:val="24"/>
          <w:szCs w:val="24"/>
        </w:rPr>
        <w:t xml:space="preserve"> proteger los</w:t>
      </w:r>
      <w:r>
        <w:rPr>
          <w:rFonts w:ascii="Times New Roman" w:hAnsi="Times New Roman" w:cs="Times New Roman"/>
          <w:sz w:val="24"/>
          <w:szCs w:val="24"/>
        </w:rPr>
        <w:t xml:space="preserve"> intereses del Estado peruano; e</w:t>
      </w:r>
      <w:r w:rsidR="00B161FE" w:rsidRPr="002511A1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razón </w:t>
      </w:r>
      <w:r w:rsidR="00B161FE" w:rsidRPr="002511A1">
        <w:rPr>
          <w:rFonts w:ascii="Times New Roman" w:hAnsi="Times New Roman" w:cs="Times New Roman"/>
          <w:sz w:val="24"/>
          <w:szCs w:val="24"/>
        </w:rPr>
        <w:t>a ello el estudio t</w:t>
      </w:r>
      <w:r>
        <w:rPr>
          <w:rFonts w:ascii="Times New Roman" w:hAnsi="Times New Roman" w:cs="Times New Roman"/>
          <w:sz w:val="24"/>
          <w:szCs w:val="24"/>
        </w:rPr>
        <w:t>uvo</w:t>
      </w:r>
      <w:r w:rsidR="00B161FE" w:rsidRPr="002511A1">
        <w:rPr>
          <w:rFonts w:ascii="Times New Roman" w:hAnsi="Times New Roman" w:cs="Times New Roman"/>
          <w:sz w:val="24"/>
          <w:szCs w:val="24"/>
        </w:rPr>
        <w:t xml:space="preserve"> como objetivo proponer un sistema nuevo para la Designación de los Procuradores </w:t>
      </w:r>
      <w:r w:rsidR="005521DA">
        <w:rPr>
          <w:rFonts w:ascii="Times New Roman" w:hAnsi="Times New Roman" w:cs="Times New Roman"/>
          <w:sz w:val="24"/>
          <w:szCs w:val="24"/>
        </w:rPr>
        <w:t>en nuestro país.</w:t>
      </w:r>
      <w:r w:rsidR="00B161FE" w:rsidRPr="00251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1FE" w:rsidRPr="002511A1" w:rsidRDefault="0015201F" w:rsidP="003C3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A1">
        <w:rPr>
          <w:rFonts w:ascii="Times New Roman" w:hAnsi="Times New Roman" w:cs="Times New Roman"/>
          <w:sz w:val="24"/>
          <w:szCs w:val="24"/>
        </w:rPr>
        <w:t>La Constitu</w:t>
      </w:r>
      <w:r w:rsidR="005521DA">
        <w:rPr>
          <w:rFonts w:ascii="Times New Roman" w:hAnsi="Times New Roman" w:cs="Times New Roman"/>
          <w:sz w:val="24"/>
          <w:szCs w:val="24"/>
        </w:rPr>
        <w:t xml:space="preserve">ción Política del Perú </w:t>
      </w:r>
      <w:r w:rsidR="00972140">
        <w:rPr>
          <w:rFonts w:ascii="Times New Roman" w:hAnsi="Times New Roman" w:cs="Times New Roman"/>
          <w:sz w:val="24"/>
          <w:szCs w:val="24"/>
        </w:rPr>
        <w:t xml:space="preserve">ha establecido </w:t>
      </w:r>
      <w:r w:rsidRPr="002511A1">
        <w:rPr>
          <w:rFonts w:ascii="Times New Roman" w:hAnsi="Times New Roman" w:cs="Times New Roman"/>
          <w:sz w:val="24"/>
          <w:szCs w:val="24"/>
        </w:rPr>
        <w:t>en el artículo 147</w:t>
      </w:r>
      <w:r w:rsidR="00972140">
        <w:rPr>
          <w:rFonts w:ascii="Times New Roman" w:hAnsi="Times New Roman" w:cs="Times New Roman"/>
          <w:sz w:val="24"/>
          <w:szCs w:val="24"/>
        </w:rPr>
        <w:t xml:space="preserve"> a los magistrados</w:t>
      </w:r>
      <w:r w:rsidRPr="002511A1">
        <w:rPr>
          <w:rFonts w:ascii="Times New Roman" w:hAnsi="Times New Roman" w:cs="Times New Roman"/>
          <w:sz w:val="24"/>
          <w:szCs w:val="24"/>
        </w:rPr>
        <w:t xml:space="preserve"> como autoridades encargadas y responsables de proteger los intereses del Estado ante el órgano judicial y extrajudicial. </w:t>
      </w:r>
    </w:p>
    <w:p w:rsidR="003C3D50" w:rsidRPr="002511A1" w:rsidRDefault="008227FF" w:rsidP="003C3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A1">
        <w:rPr>
          <w:rFonts w:ascii="Times New Roman" w:hAnsi="Times New Roman" w:cs="Times New Roman"/>
          <w:sz w:val="24"/>
          <w:szCs w:val="24"/>
        </w:rPr>
        <w:t xml:space="preserve">En el proceso histórico, cabe recordar que en Grecia, Roma y otras civilizaciones los </w:t>
      </w:r>
      <w:r w:rsidRPr="002511A1">
        <w:rPr>
          <w:rFonts w:ascii="Times New Roman" w:hAnsi="Times New Roman" w:cs="Times New Roman"/>
          <w:i/>
          <w:iCs/>
          <w:sz w:val="24"/>
          <w:szCs w:val="24"/>
        </w:rPr>
        <w:t>Gens du Rol</w:t>
      </w:r>
      <w:r w:rsidRPr="002511A1">
        <w:rPr>
          <w:rFonts w:ascii="Times New Roman" w:hAnsi="Times New Roman" w:cs="Times New Roman"/>
          <w:sz w:val="24"/>
          <w:szCs w:val="24"/>
        </w:rPr>
        <w:t xml:space="preserve"> comprendía procuradores del rey, ello en defensa del Estado que en la actualidad tienen a denominarse Ministerio Publico (</w:t>
      </w:r>
      <w:proofErr w:type="spellStart"/>
      <w:r w:rsidRPr="002511A1">
        <w:rPr>
          <w:rFonts w:ascii="Times New Roman" w:hAnsi="Times New Roman" w:cs="Times New Roman"/>
          <w:sz w:val="24"/>
          <w:szCs w:val="24"/>
        </w:rPr>
        <w:t>Levano</w:t>
      </w:r>
      <w:proofErr w:type="spellEnd"/>
      <w:proofErr w:type="gramStart"/>
      <w:r w:rsidRPr="002511A1">
        <w:rPr>
          <w:rFonts w:ascii="Times New Roman" w:hAnsi="Times New Roman" w:cs="Times New Roman"/>
          <w:sz w:val="24"/>
          <w:szCs w:val="24"/>
        </w:rPr>
        <w:t>, )</w:t>
      </w:r>
      <w:proofErr w:type="gramEnd"/>
      <w:r w:rsidRPr="002511A1">
        <w:rPr>
          <w:rFonts w:ascii="Times New Roman" w:hAnsi="Times New Roman" w:cs="Times New Roman"/>
          <w:sz w:val="24"/>
          <w:szCs w:val="24"/>
        </w:rPr>
        <w:t xml:space="preserve">. </w:t>
      </w:r>
      <w:r w:rsidR="00101151" w:rsidRPr="002511A1">
        <w:rPr>
          <w:rFonts w:ascii="Times New Roman" w:hAnsi="Times New Roman" w:cs="Times New Roman"/>
          <w:sz w:val="24"/>
          <w:szCs w:val="24"/>
        </w:rPr>
        <w:t xml:space="preserve">Los procuradores tienen regulación normativa, </w:t>
      </w:r>
      <w:proofErr w:type="spellStart"/>
      <w:r w:rsidR="00101151" w:rsidRPr="002511A1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101151" w:rsidRPr="002511A1">
        <w:rPr>
          <w:rFonts w:ascii="Times New Roman" w:hAnsi="Times New Roman" w:cs="Times New Roman"/>
          <w:sz w:val="24"/>
          <w:szCs w:val="24"/>
        </w:rPr>
        <w:t xml:space="preserve"> en la Constitución de 1839 regula sobre la procuradora, asimismo en la Constitución de 1867 en el articulo 97 bajo la denominación de Fiscal General Procurador</w:t>
      </w:r>
      <w:r w:rsidRPr="002511A1">
        <w:rPr>
          <w:rFonts w:ascii="Times New Roman" w:hAnsi="Times New Roman" w:cs="Times New Roman"/>
          <w:sz w:val="24"/>
          <w:szCs w:val="24"/>
        </w:rPr>
        <w:t>; en la Constitución de 1933</w:t>
      </w:r>
      <w:r w:rsidR="00101151" w:rsidRPr="002511A1">
        <w:rPr>
          <w:rFonts w:ascii="Times New Roman" w:hAnsi="Times New Roman" w:cs="Times New Roman"/>
          <w:sz w:val="24"/>
          <w:szCs w:val="24"/>
        </w:rPr>
        <w:t xml:space="preserve"> </w:t>
      </w:r>
      <w:r w:rsidRPr="002511A1">
        <w:rPr>
          <w:rFonts w:ascii="Times New Roman" w:hAnsi="Times New Roman" w:cs="Times New Roman"/>
          <w:sz w:val="24"/>
          <w:szCs w:val="24"/>
        </w:rPr>
        <w:t xml:space="preserve">en el articulo 223 se establece la procuraduría ligada con el Ministerio Publico.   </w:t>
      </w:r>
      <w:r w:rsidR="00101151" w:rsidRPr="00251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151" w:rsidRPr="002511A1" w:rsidRDefault="008227FF" w:rsidP="003C3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A1">
        <w:rPr>
          <w:rFonts w:ascii="Times New Roman" w:hAnsi="Times New Roman" w:cs="Times New Roman"/>
          <w:sz w:val="24"/>
          <w:szCs w:val="24"/>
        </w:rPr>
        <w:t xml:space="preserve">Mediante el Decreto Supremo 570-J de 1965, se estableció modificatoria sobre el Procurador General de la República, en donde se designo a la dependencia del Estado, de ahí se tomo en cuenta las funciones del Estado, asimismo el decreto Ley 17537 de1969 se regulo sobre la Procuraduría, donde no se considero los municipios; sin embargo de la Constitución de 1979 regulado en el artículo 147 considera a los procuradores como abogados del Estado, mientras </w:t>
      </w:r>
      <w:r w:rsidRPr="002511A1">
        <w:rPr>
          <w:rFonts w:ascii="Times New Roman" w:hAnsi="Times New Roman" w:cs="Times New Roman"/>
          <w:sz w:val="24"/>
          <w:szCs w:val="24"/>
        </w:rPr>
        <w:lastRenderedPageBreak/>
        <w:t xml:space="preserve">la Constitución de 1993 en el artículo 47 precisa defender las utilidades del Estado, en un marco normativo de la Ley 27867 y Ley 27972 que refuerza el criterio del procurador público.    </w:t>
      </w:r>
    </w:p>
    <w:p w:rsidR="005521DA" w:rsidRDefault="00F910E6" w:rsidP="003C3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A1">
        <w:rPr>
          <w:rFonts w:ascii="Times New Roman" w:hAnsi="Times New Roman" w:cs="Times New Roman"/>
          <w:sz w:val="24"/>
          <w:szCs w:val="24"/>
        </w:rPr>
        <w:t xml:space="preserve">El surgimiento de la procuraduría parte en el Derecho romano a partir de </w:t>
      </w:r>
      <w:proofErr w:type="spellStart"/>
      <w:r w:rsidRPr="002511A1">
        <w:rPr>
          <w:rFonts w:ascii="Times New Roman" w:hAnsi="Times New Roman" w:cs="Times New Roman"/>
          <w:i/>
          <w:iCs/>
          <w:sz w:val="24"/>
          <w:szCs w:val="24"/>
        </w:rPr>
        <w:t>cognitor</w:t>
      </w:r>
      <w:proofErr w:type="spellEnd"/>
      <w:r w:rsidRPr="002511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11A1">
        <w:rPr>
          <w:rFonts w:ascii="Times New Roman" w:hAnsi="Times New Roman" w:cs="Times New Roman"/>
          <w:sz w:val="24"/>
          <w:szCs w:val="24"/>
        </w:rPr>
        <w:t xml:space="preserve">y el </w:t>
      </w:r>
      <w:proofErr w:type="spellStart"/>
      <w:r w:rsidRPr="002511A1">
        <w:rPr>
          <w:rFonts w:ascii="Times New Roman" w:hAnsi="Times New Roman" w:cs="Times New Roman"/>
          <w:i/>
          <w:iCs/>
          <w:sz w:val="24"/>
          <w:szCs w:val="24"/>
        </w:rPr>
        <w:t>procurator</w:t>
      </w:r>
      <w:proofErr w:type="spellEnd"/>
      <w:r w:rsidRPr="002511A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511A1">
        <w:rPr>
          <w:rFonts w:ascii="Times New Roman" w:hAnsi="Times New Roman" w:cs="Times New Roman"/>
          <w:sz w:val="24"/>
          <w:szCs w:val="24"/>
        </w:rPr>
        <w:t>que vendría ser la figura del procurador (</w:t>
      </w:r>
      <w:proofErr w:type="spellStart"/>
      <w:r w:rsidRPr="002511A1">
        <w:rPr>
          <w:rFonts w:ascii="Times New Roman" w:hAnsi="Times New Roman" w:cs="Times New Roman"/>
          <w:sz w:val="24"/>
          <w:szCs w:val="24"/>
        </w:rPr>
        <w:t>Nuñez</w:t>
      </w:r>
      <w:proofErr w:type="spellEnd"/>
      <w:r w:rsidRPr="002511A1">
        <w:rPr>
          <w:rFonts w:ascii="Times New Roman" w:hAnsi="Times New Roman" w:cs="Times New Roman"/>
          <w:sz w:val="24"/>
          <w:szCs w:val="24"/>
        </w:rPr>
        <w:t>, 2008). Justiniano precisa las circunstancias eventuales de l</w:t>
      </w:r>
      <w:r w:rsidR="005521DA">
        <w:rPr>
          <w:rFonts w:ascii="Times New Roman" w:hAnsi="Times New Roman" w:cs="Times New Roman"/>
          <w:sz w:val="24"/>
          <w:szCs w:val="24"/>
        </w:rPr>
        <w:t>a procuraduría que requiere que sean prácticos, tendiente a que se evite hechos de indefensión, el cual origino que surja este representante o fiscalizador procesal.</w:t>
      </w:r>
    </w:p>
    <w:p w:rsidR="00101151" w:rsidRPr="002511A1" w:rsidRDefault="00F910E6" w:rsidP="003C3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A1">
        <w:rPr>
          <w:rFonts w:ascii="Times New Roman" w:hAnsi="Times New Roman" w:cs="Times New Roman"/>
          <w:sz w:val="24"/>
          <w:szCs w:val="24"/>
        </w:rPr>
        <w:t>de carácter práctico, tendientes a evitar situaciones de indefensión, las que originaron el surgimiento de este modelo de representante o fis</w:t>
      </w:r>
      <w:r w:rsidR="00560495">
        <w:rPr>
          <w:rFonts w:ascii="Times New Roman" w:hAnsi="Times New Roman" w:cs="Times New Roman"/>
          <w:sz w:val="24"/>
          <w:szCs w:val="24"/>
        </w:rPr>
        <w:t>calizador procesal.</w:t>
      </w:r>
    </w:p>
    <w:p w:rsidR="008227FF" w:rsidRPr="002511A1" w:rsidRDefault="00F910E6" w:rsidP="003C3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A1">
        <w:rPr>
          <w:rFonts w:ascii="Times New Roman" w:hAnsi="Times New Roman" w:cs="Times New Roman"/>
          <w:sz w:val="24"/>
          <w:szCs w:val="24"/>
        </w:rPr>
        <w:t>Según Pablo (</w:t>
      </w:r>
      <w:proofErr w:type="spellStart"/>
      <w:r w:rsidR="002511A1" w:rsidRPr="002511A1">
        <w:rPr>
          <w:rFonts w:ascii="Times New Roman" w:hAnsi="Times New Roman" w:cs="Times New Roman"/>
          <w:sz w:val="24"/>
          <w:szCs w:val="24"/>
        </w:rPr>
        <w:t>s.f</w:t>
      </w:r>
      <w:proofErr w:type="spellEnd"/>
      <w:r w:rsidRPr="002511A1">
        <w:rPr>
          <w:rFonts w:ascii="Times New Roman" w:hAnsi="Times New Roman" w:cs="Times New Roman"/>
          <w:sz w:val="24"/>
          <w:szCs w:val="24"/>
        </w:rPr>
        <w:t xml:space="preserve">) concibe al procurador como aquel abogado que manifiesta la demandante en el pleito. En la actualidad los procuradores </w:t>
      </w:r>
      <w:r w:rsidR="00B23067" w:rsidRPr="002511A1">
        <w:rPr>
          <w:rFonts w:ascii="Times New Roman" w:hAnsi="Times New Roman" w:cs="Times New Roman"/>
          <w:sz w:val="24"/>
          <w:szCs w:val="24"/>
        </w:rPr>
        <w:t>se encuentran en el marco de</w:t>
      </w:r>
      <w:r w:rsidRPr="002511A1">
        <w:rPr>
          <w:rFonts w:ascii="Times New Roman" w:hAnsi="Times New Roman" w:cs="Times New Roman"/>
          <w:sz w:val="24"/>
          <w:szCs w:val="24"/>
        </w:rPr>
        <w:t>l decreto Legislativo 1068</w:t>
      </w:r>
      <w:r w:rsidR="00B23067" w:rsidRPr="002511A1">
        <w:rPr>
          <w:rFonts w:ascii="Times New Roman" w:hAnsi="Times New Roman" w:cs="Times New Roman"/>
          <w:sz w:val="24"/>
          <w:szCs w:val="24"/>
        </w:rPr>
        <w:t>.</w:t>
      </w:r>
      <w:r w:rsidRPr="002511A1">
        <w:rPr>
          <w:rFonts w:ascii="Times New Roman" w:hAnsi="Times New Roman" w:cs="Times New Roman"/>
          <w:sz w:val="24"/>
          <w:szCs w:val="24"/>
        </w:rPr>
        <w:t xml:space="preserve"> </w:t>
      </w:r>
      <w:r w:rsidR="00B23067" w:rsidRPr="002511A1">
        <w:rPr>
          <w:rFonts w:ascii="Times New Roman" w:hAnsi="Times New Roman" w:cs="Times New Roman"/>
          <w:sz w:val="24"/>
          <w:szCs w:val="24"/>
        </w:rPr>
        <w:t xml:space="preserve">De ahí, que tienen la obligación principal de </w:t>
      </w:r>
      <w:r w:rsidR="00B23067" w:rsidRPr="002511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manifestar y refugiar jurídicamente al E</w:t>
      </w:r>
      <w:r w:rsidR="00392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stado (Cons</w:t>
      </w:r>
      <w:r w:rsidR="00B23067" w:rsidRPr="002511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ejo de Defensa Jurídica del Estado, 2014).</w:t>
      </w:r>
    </w:p>
    <w:p w:rsidR="00415248" w:rsidRPr="002511A1" w:rsidRDefault="00415248" w:rsidP="003C3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50" w:rsidRPr="0093302B" w:rsidRDefault="003C3D50" w:rsidP="003C3D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02B">
        <w:rPr>
          <w:rFonts w:ascii="Times New Roman" w:hAnsi="Times New Roman" w:cs="Times New Roman"/>
          <w:b/>
          <w:sz w:val="24"/>
          <w:szCs w:val="24"/>
        </w:rPr>
        <w:t xml:space="preserve">Materiales y métodos </w:t>
      </w:r>
    </w:p>
    <w:p w:rsidR="00E91B1F" w:rsidRDefault="00E91B1F" w:rsidP="003C3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investigación se desarrolló bajo el enfoque </w:t>
      </w:r>
      <w:r w:rsidR="003C3D50" w:rsidRPr="002511A1">
        <w:rPr>
          <w:rFonts w:ascii="Times New Roman" w:hAnsi="Times New Roman" w:cs="Times New Roman"/>
          <w:sz w:val="24"/>
          <w:szCs w:val="24"/>
        </w:rPr>
        <w:t>cualitativo</w:t>
      </w:r>
      <w:r w:rsidR="009F1E23">
        <w:rPr>
          <w:rFonts w:ascii="Times New Roman" w:hAnsi="Times New Roman" w:cs="Times New Roman"/>
          <w:sz w:val="24"/>
          <w:szCs w:val="24"/>
        </w:rPr>
        <w:t xml:space="preserve">, un proceso inductivo </w:t>
      </w:r>
      <w:r w:rsidR="005F6D53">
        <w:rPr>
          <w:rFonts w:ascii="Times New Roman" w:hAnsi="Times New Roman" w:cs="Times New Roman"/>
          <w:sz w:val="24"/>
          <w:szCs w:val="24"/>
        </w:rPr>
        <w:t>que se contextualiza en un entorno natural, que describe, comprende e interpreta el fenómeno por medio de la percepción y significado producido por la experiencia del participante. E</w:t>
      </w:r>
      <w:r>
        <w:rPr>
          <w:rFonts w:ascii="Times New Roman" w:hAnsi="Times New Roman" w:cs="Times New Roman"/>
          <w:sz w:val="24"/>
          <w:szCs w:val="24"/>
        </w:rPr>
        <w:t>l cual permitió que</w:t>
      </w:r>
      <w:r w:rsidRPr="002511A1">
        <w:rPr>
          <w:rFonts w:ascii="Times New Roman" w:hAnsi="Times New Roman" w:cs="Times New Roman"/>
          <w:sz w:val="24"/>
          <w:szCs w:val="24"/>
        </w:rPr>
        <w:t xml:space="preserve"> el fenómeno </w:t>
      </w:r>
      <w:r>
        <w:rPr>
          <w:rFonts w:ascii="Times New Roman" w:hAnsi="Times New Roman" w:cs="Times New Roman"/>
          <w:sz w:val="24"/>
          <w:szCs w:val="24"/>
        </w:rPr>
        <w:t>tenga un</w:t>
      </w:r>
      <w:r w:rsidRPr="002511A1">
        <w:rPr>
          <w:rFonts w:ascii="Times New Roman" w:hAnsi="Times New Roman" w:cs="Times New Roman"/>
          <w:sz w:val="24"/>
          <w:szCs w:val="24"/>
        </w:rPr>
        <w:t xml:space="preserve"> abordaje reflexivo y abierto, </w:t>
      </w:r>
      <w:r>
        <w:rPr>
          <w:rFonts w:ascii="Times New Roman" w:hAnsi="Times New Roman" w:cs="Times New Roman"/>
          <w:sz w:val="24"/>
          <w:szCs w:val="24"/>
        </w:rPr>
        <w:t>ajustándose</w:t>
      </w:r>
      <w:r w:rsidRPr="002511A1">
        <w:rPr>
          <w:rFonts w:ascii="Times New Roman" w:hAnsi="Times New Roman" w:cs="Times New Roman"/>
          <w:sz w:val="24"/>
          <w:szCs w:val="24"/>
        </w:rPr>
        <w:t xml:space="preserve"> a las condicio</w:t>
      </w:r>
      <w:r>
        <w:rPr>
          <w:rFonts w:ascii="Times New Roman" w:hAnsi="Times New Roman" w:cs="Times New Roman"/>
          <w:sz w:val="24"/>
          <w:szCs w:val="24"/>
        </w:rPr>
        <w:t xml:space="preserve">nes del escenario de estudio. </w:t>
      </w:r>
    </w:p>
    <w:p w:rsidR="003C3D50" w:rsidRPr="002511A1" w:rsidRDefault="00E91B1F" w:rsidP="003C3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3C3D50" w:rsidRPr="002511A1">
        <w:rPr>
          <w:rFonts w:ascii="Times New Roman" w:hAnsi="Times New Roman" w:cs="Times New Roman"/>
          <w:sz w:val="24"/>
          <w:szCs w:val="24"/>
        </w:rPr>
        <w:t xml:space="preserve"> metodología </w:t>
      </w:r>
      <w:r>
        <w:rPr>
          <w:rFonts w:ascii="Times New Roman" w:hAnsi="Times New Roman" w:cs="Times New Roman"/>
          <w:sz w:val="24"/>
          <w:szCs w:val="24"/>
        </w:rPr>
        <w:t xml:space="preserve">aplicada es la </w:t>
      </w:r>
      <w:r w:rsidR="003C3D50" w:rsidRPr="002511A1">
        <w:rPr>
          <w:rFonts w:ascii="Times New Roman" w:hAnsi="Times New Roman" w:cs="Times New Roman"/>
          <w:sz w:val="24"/>
          <w:szCs w:val="24"/>
        </w:rPr>
        <w:t>hermenéutica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3D50" w:rsidRPr="00251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 cual permitió</w:t>
      </w:r>
      <w:r w:rsidR="003C3D50" w:rsidRPr="002511A1">
        <w:rPr>
          <w:rFonts w:ascii="Times New Roman" w:hAnsi="Times New Roman" w:cs="Times New Roman"/>
          <w:sz w:val="24"/>
          <w:szCs w:val="24"/>
        </w:rPr>
        <w:t xml:space="preserve"> realizar interpretaciones, </w:t>
      </w:r>
      <w:r>
        <w:rPr>
          <w:rFonts w:ascii="Times New Roman" w:hAnsi="Times New Roman" w:cs="Times New Roman"/>
          <w:sz w:val="24"/>
          <w:szCs w:val="24"/>
        </w:rPr>
        <w:t>a través de la búsqueda de s</w:t>
      </w:r>
      <w:r w:rsidR="003C3D50" w:rsidRPr="002511A1">
        <w:rPr>
          <w:rFonts w:ascii="Times New Roman" w:hAnsi="Times New Roman" w:cs="Times New Roman"/>
          <w:sz w:val="24"/>
          <w:szCs w:val="24"/>
        </w:rPr>
        <w:t xml:space="preserve">ignificados </w:t>
      </w:r>
      <w:r>
        <w:rPr>
          <w:rFonts w:ascii="Times New Roman" w:hAnsi="Times New Roman" w:cs="Times New Roman"/>
          <w:sz w:val="24"/>
          <w:szCs w:val="24"/>
        </w:rPr>
        <w:t xml:space="preserve">verdaderos de las palabras, a nivel verbal y escrito (Martínez, 2006). De manera que, el </w:t>
      </w:r>
      <w:r w:rsidR="003C3D50" w:rsidRPr="002511A1">
        <w:rPr>
          <w:rFonts w:ascii="Times New Roman" w:hAnsi="Times New Roman" w:cs="Times New Roman"/>
          <w:sz w:val="24"/>
          <w:szCs w:val="24"/>
        </w:rPr>
        <w:t xml:space="preserve">estudio </w:t>
      </w:r>
      <w:r>
        <w:rPr>
          <w:rFonts w:ascii="Times New Roman" w:hAnsi="Times New Roman" w:cs="Times New Roman"/>
          <w:sz w:val="24"/>
          <w:szCs w:val="24"/>
        </w:rPr>
        <w:t>permitió</w:t>
      </w:r>
      <w:r w:rsidR="003C3D50" w:rsidRPr="002511A1">
        <w:rPr>
          <w:rFonts w:ascii="Times New Roman" w:hAnsi="Times New Roman" w:cs="Times New Roman"/>
          <w:sz w:val="24"/>
          <w:szCs w:val="24"/>
        </w:rPr>
        <w:t xml:space="preserve"> interpretar y analizar </w:t>
      </w:r>
      <w:r>
        <w:rPr>
          <w:rFonts w:ascii="Times New Roman" w:hAnsi="Times New Roman" w:cs="Times New Roman"/>
          <w:sz w:val="24"/>
          <w:szCs w:val="24"/>
        </w:rPr>
        <w:t>las normas jurídicas de</w:t>
      </w:r>
      <w:r w:rsidR="003C3D50" w:rsidRPr="002511A1">
        <w:rPr>
          <w:rFonts w:ascii="Times New Roman" w:hAnsi="Times New Roman" w:cs="Times New Roman"/>
          <w:sz w:val="24"/>
          <w:szCs w:val="24"/>
        </w:rPr>
        <w:t xml:space="preserve"> los procuradores públicos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EBF" w:rsidRPr="002511A1" w:rsidRDefault="00E06010" w:rsidP="003C3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A1">
        <w:rPr>
          <w:rFonts w:ascii="Times New Roman" w:hAnsi="Times New Roman" w:cs="Times New Roman"/>
          <w:sz w:val="24"/>
          <w:szCs w:val="24"/>
        </w:rPr>
        <w:t>La población</w:t>
      </w:r>
      <w:r w:rsidR="00E91B1F">
        <w:rPr>
          <w:rFonts w:ascii="Times New Roman" w:hAnsi="Times New Roman" w:cs="Times New Roman"/>
          <w:sz w:val="24"/>
          <w:szCs w:val="24"/>
        </w:rPr>
        <w:t xml:space="preserve"> y muestra del estudio se ha centrado</w:t>
      </w:r>
      <w:r w:rsidR="00E91B1F" w:rsidRPr="002511A1">
        <w:rPr>
          <w:rFonts w:ascii="Times New Roman" w:hAnsi="Times New Roman" w:cs="Times New Roman"/>
          <w:sz w:val="24"/>
          <w:szCs w:val="24"/>
        </w:rPr>
        <w:t xml:space="preserve"> </w:t>
      </w:r>
      <w:r w:rsidRPr="002511A1">
        <w:rPr>
          <w:rFonts w:ascii="Times New Roman" w:hAnsi="Times New Roman" w:cs="Times New Roman"/>
          <w:sz w:val="24"/>
          <w:szCs w:val="24"/>
        </w:rPr>
        <w:t xml:space="preserve">en </w:t>
      </w:r>
      <w:r w:rsidR="00732EBF" w:rsidRPr="002511A1">
        <w:rPr>
          <w:rFonts w:ascii="Times New Roman" w:hAnsi="Times New Roman" w:cs="Times New Roman"/>
          <w:sz w:val="24"/>
          <w:szCs w:val="24"/>
        </w:rPr>
        <w:t>los casos denunciados por los procuradores del Estado peruano</w:t>
      </w:r>
      <w:r w:rsidR="00E91B1F">
        <w:rPr>
          <w:rFonts w:ascii="Times New Roman" w:hAnsi="Times New Roman" w:cs="Times New Roman"/>
          <w:sz w:val="24"/>
          <w:szCs w:val="24"/>
        </w:rPr>
        <w:t xml:space="preserve"> en</w:t>
      </w:r>
      <w:r w:rsidR="00732EBF" w:rsidRPr="002511A1">
        <w:rPr>
          <w:rFonts w:ascii="Times New Roman" w:hAnsi="Times New Roman" w:cs="Times New Roman"/>
          <w:sz w:val="24"/>
          <w:szCs w:val="24"/>
        </w:rPr>
        <w:t xml:space="preserve"> contra los gobiernos de turno; mientras la muestra seleccionada comprende a distritos judiciales y/o fiscales donde existan denuncias </w:t>
      </w:r>
      <w:r w:rsidR="009F1E23">
        <w:rPr>
          <w:rFonts w:ascii="Times New Roman" w:hAnsi="Times New Roman" w:cs="Times New Roman"/>
          <w:sz w:val="24"/>
          <w:szCs w:val="24"/>
        </w:rPr>
        <w:t xml:space="preserve">en </w:t>
      </w:r>
      <w:r w:rsidR="00732EBF" w:rsidRPr="002511A1">
        <w:rPr>
          <w:rFonts w:ascii="Times New Roman" w:hAnsi="Times New Roman" w:cs="Times New Roman"/>
          <w:sz w:val="24"/>
          <w:szCs w:val="24"/>
        </w:rPr>
        <w:t xml:space="preserve">contra los gobiernos de turno. </w:t>
      </w:r>
    </w:p>
    <w:p w:rsidR="003C3D50" w:rsidRPr="002511A1" w:rsidRDefault="009F1E23" w:rsidP="009F1E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técnica que se aplicó es el análisis del contenido, que se desarrolló por medio del instrumento de la lectura (visual o textual). Ello permitió e</w:t>
      </w:r>
      <w:r w:rsidR="00732EBF" w:rsidRPr="002511A1">
        <w:rPr>
          <w:rFonts w:ascii="Times New Roman" w:hAnsi="Times New Roman" w:cs="Times New Roman"/>
          <w:sz w:val="24"/>
          <w:szCs w:val="24"/>
        </w:rPr>
        <w:t xml:space="preserve">l análisis documental </w:t>
      </w:r>
      <w:r>
        <w:rPr>
          <w:rFonts w:ascii="Times New Roman" w:hAnsi="Times New Roman" w:cs="Times New Roman"/>
          <w:sz w:val="24"/>
          <w:szCs w:val="24"/>
        </w:rPr>
        <w:t xml:space="preserve">de fuentes primarias 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fuentes secundarias </w:t>
      </w:r>
      <w:r w:rsidR="00732EBF" w:rsidRPr="002511A1">
        <w:rPr>
          <w:rFonts w:ascii="Times New Roman" w:hAnsi="Times New Roman" w:cs="Times New Roman"/>
          <w:sz w:val="24"/>
          <w:szCs w:val="24"/>
        </w:rPr>
        <w:t>documentos jurídicos, expedientes, datos estadísticos y legislación nacional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A84" w:rsidRPr="002511A1" w:rsidRDefault="00565A84" w:rsidP="003C3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50" w:rsidRPr="0093302B" w:rsidRDefault="003C3D50" w:rsidP="003C3D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02B">
        <w:rPr>
          <w:rFonts w:ascii="Times New Roman" w:hAnsi="Times New Roman" w:cs="Times New Roman"/>
          <w:b/>
          <w:sz w:val="24"/>
          <w:szCs w:val="24"/>
        </w:rPr>
        <w:t xml:space="preserve">Análisis de resultados </w:t>
      </w:r>
    </w:p>
    <w:p w:rsidR="003C3D50" w:rsidRDefault="00415248" w:rsidP="00415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A1">
        <w:rPr>
          <w:rFonts w:ascii="Times New Roman" w:hAnsi="Times New Roman" w:cs="Times New Roman"/>
          <w:sz w:val="24"/>
          <w:szCs w:val="24"/>
        </w:rPr>
        <w:t xml:space="preserve">Los actos de corrupción constituyen un mal que debe de ser sancionado, para ello es necesario </w:t>
      </w:r>
      <w:r w:rsidR="00244E8C">
        <w:rPr>
          <w:rFonts w:ascii="Times New Roman" w:hAnsi="Times New Roman" w:cs="Times New Roman"/>
          <w:sz w:val="24"/>
          <w:szCs w:val="24"/>
        </w:rPr>
        <w:t xml:space="preserve">para que se fortalezca los mecanismos para mermar la corrupción que viene directamente de los funcionarios estatales. </w:t>
      </w:r>
      <w:r w:rsidRPr="002511A1">
        <w:rPr>
          <w:rFonts w:ascii="Times New Roman" w:hAnsi="Times New Roman" w:cs="Times New Roman"/>
          <w:sz w:val="24"/>
          <w:szCs w:val="24"/>
        </w:rPr>
        <w:t xml:space="preserve">Asimismo, la procuraduría anticorrupción resalta en la defensa de los intereses de Estado. </w:t>
      </w:r>
    </w:p>
    <w:p w:rsidR="002511A1" w:rsidRPr="002511A1" w:rsidRDefault="002511A1" w:rsidP="00415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50" w:rsidRPr="002511A1" w:rsidRDefault="00415248" w:rsidP="00415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A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15EBF827" wp14:editId="189BAD89">
            <wp:simplePos x="0" y="0"/>
            <wp:positionH relativeFrom="margin">
              <wp:posOffset>60960</wp:posOffset>
            </wp:positionH>
            <wp:positionV relativeFrom="paragraph">
              <wp:posOffset>241935</wp:posOffset>
            </wp:positionV>
            <wp:extent cx="5537835" cy="2995295"/>
            <wp:effectExtent l="0" t="0" r="5715" b="0"/>
            <wp:wrapTight wrapText="bothSides">
              <wp:wrapPolygon edited="0">
                <wp:start x="0" y="0"/>
                <wp:lineTo x="0" y="21431"/>
                <wp:lineTo x="21548" y="21431"/>
                <wp:lineTo x="21548" y="0"/>
                <wp:lineTo x="0" y="0"/>
              </wp:wrapPolygon>
            </wp:wrapTight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1000" contras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1A1">
        <w:rPr>
          <w:rFonts w:ascii="Times New Roman" w:hAnsi="Times New Roman" w:cs="Times New Roman"/>
          <w:sz w:val="24"/>
          <w:szCs w:val="24"/>
        </w:rPr>
        <w:t>Figura 1, instituciones afectadas por corrupción en los años 2011 y 2012.</w:t>
      </w:r>
    </w:p>
    <w:p w:rsidR="00415248" w:rsidRPr="002511A1" w:rsidRDefault="00415248" w:rsidP="00415248">
      <w:pPr>
        <w:rPr>
          <w:rFonts w:ascii="Times New Roman" w:hAnsi="Times New Roman" w:cs="Times New Roman"/>
          <w:b/>
          <w:sz w:val="24"/>
          <w:szCs w:val="24"/>
        </w:rPr>
      </w:pPr>
      <w:r w:rsidRPr="002511A1">
        <w:rPr>
          <w:rFonts w:ascii="Times New Roman" w:hAnsi="Times New Roman" w:cs="Times New Roman"/>
          <w:b/>
          <w:sz w:val="24"/>
          <w:szCs w:val="24"/>
        </w:rPr>
        <w:t>Fuente: Procuraduría Anticorrupción</w:t>
      </w:r>
    </w:p>
    <w:p w:rsidR="00415248" w:rsidRPr="002511A1" w:rsidRDefault="00B24B08" w:rsidP="00415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A1">
        <w:rPr>
          <w:rFonts w:ascii="Times New Roman" w:hAnsi="Times New Roman" w:cs="Times New Roman"/>
          <w:sz w:val="24"/>
          <w:szCs w:val="24"/>
        </w:rPr>
        <w:t>De</w:t>
      </w:r>
      <w:r w:rsidR="005F220F">
        <w:rPr>
          <w:rFonts w:ascii="Times New Roman" w:hAnsi="Times New Roman" w:cs="Times New Roman"/>
          <w:sz w:val="24"/>
          <w:szCs w:val="24"/>
        </w:rPr>
        <w:t xml:space="preserve"> la Figura 1, se observa que el acto</w:t>
      </w:r>
      <w:r w:rsidRPr="002511A1">
        <w:rPr>
          <w:rFonts w:ascii="Times New Roman" w:hAnsi="Times New Roman" w:cs="Times New Roman"/>
          <w:sz w:val="24"/>
          <w:szCs w:val="24"/>
        </w:rPr>
        <w:t xml:space="preserve"> de corrupción en las </w:t>
      </w:r>
      <w:r w:rsidR="005F220F">
        <w:rPr>
          <w:rFonts w:ascii="Times New Roman" w:hAnsi="Times New Roman" w:cs="Times New Roman"/>
          <w:sz w:val="24"/>
          <w:szCs w:val="24"/>
        </w:rPr>
        <w:t>entidades</w:t>
      </w:r>
      <w:r w:rsidRPr="002511A1">
        <w:rPr>
          <w:rFonts w:ascii="Times New Roman" w:hAnsi="Times New Roman" w:cs="Times New Roman"/>
          <w:sz w:val="24"/>
          <w:szCs w:val="24"/>
        </w:rPr>
        <w:t xml:space="preserve"> </w:t>
      </w:r>
      <w:r w:rsidR="005F220F">
        <w:rPr>
          <w:rFonts w:ascii="Times New Roman" w:hAnsi="Times New Roman" w:cs="Times New Roman"/>
          <w:sz w:val="24"/>
          <w:szCs w:val="24"/>
        </w:rPr>
        <w:t>estatales</w:t>
      </w:r>
      <w:r w:rsidRPr="002511A1">
        <w:rPr>
          <w:rFonts w:ascii="Times New Roman" w:hAnsi="Times New Roman" w:cs="Times New Roman"/>
          <w:sz w:val="24"/>
          <w:szCs w:val="24"/>
        </w:rPr>
        <w:t xml:space="preserve"> se encuentran en un 27% en los Ministerios, seguido de 14,8</w:t>
      </w:r>
      <w:r w:rsidR="00EB56DD" w:rsidRPr="002511A1">
        <w:rPr>
          <w:rFonts w:ascii="Times New Roman" w:hAnsi="Times New Roman" w:cs="Times New Roman"/>
          <w:sz w:val="24"/>
          <w:szCs w:val="24"/>
        </w:rPr>
        <w:t>%</w:t>
      </w:r>
      <w:r w:rsidRPr="002511A1">
        <w:rPr>
          <w:rFonts w:ascii="Times New Roman" w:hAnsi="Times New Roman" w:cs="Times New Roman"/>
          <w:sz w:val="24"/>
          <w:szCs w:val="24"/>
        </w:rPr>
        <w:t xml:space="preserve"> en las municipalidades distritales, en un 13,6% </w:t>
      </w:r>
      <w:r w:rsidR="00EB56DD" w:rsidRPr="002511A1">
        <w:rPr>
          <w:rFonts w:ascii="Times New Roman" w:hAnsi="Times New Roman" w:cs="Times New Roman"/>
          <w:sz w:val="24"/>
          <w:szCs w:val="24"/>
        </w:rPr>
        <w:t xml:space="preserve">la corrupción persiste en efectivos policiales, en un 9,8% en instituciones educativas, en un 6,6% se manifiesta en el órgano judicial, en un 5,5% en instituciones militares, mientras menor a 2% resalta en otras instituciones públicas. </w:t>
      </w:r>
      <w:r w:rsidRPr="00251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B08" w:rsidRPr="002511A1" w:rsidRDefault="00B24B08" w:rsidP="00415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48" w:rsidRPr="002511A1" w:rsidRDefault="00415248" w:rsidP="00415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A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419" w:eastAsia="es-419"/>
        </w:rPr>
        <w:lastRenderedPageBreak/>
        <w:drawing>
          <wp:anchor distT="0" distB="0" distL="114300" distR="114300" simplePos="0" relativeHeight="251661312" behindDoc="1" locked="0" layoutInCell="1" allowOverlap="1" wp14:anchorId="17C152E0" wp14:editId="6E952241">
            <wp:simplePos x="0" y="0"/>
            <wp:positionH relativeFrom="column">
              <wp:posOffset>-1905</wp:posOffset>
            </wp:positionH>
            <wp:positionV relativeFrom="paragraph">
              <wp:posOffset>391795</wp:posOffset>
            </wp:positionV>
            <wp:extent cx="5855335" cy="2947670"/>
            <wp:effectExtent l="0" t="0" r="0" b="5080"/>
            <wp:wrapTight wrapText="bothSides">
              <wp:wrapPolygon edited="0">
                <wp:start x="0" y="0"/>
                <wp:lineTo x="0" y="21498"/>
                <wp:lineTo x="21504" y="21498"/>
                <wp:lineTo x="21504" y="0"/>
                <wp:lineTo x="0" y="0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1000" contras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1A1">
        <w:rPr>
          <w:rFonts w:ascii="Times New Roman" w:hAnsi="Times New Roman" w:cs="Times New Roman"/>
          <w:sz w:val="24"/>
          <w:szCs w:val="24"/>
        </w:rPr>
        <w:t>Figura 2, tipos de delitos de corrupción cometidos en los años 2011 y 2012</w:t>
      </w:r>
    </w:p>
    <w:p w:rsidR="00415248" w:rsidRPr="002511A1" w:rsidRDefault="00415248" w:rsidP="00415248">
      <w:pPr>
        <w:rPr>
          <w:rFonts w:ascii="Times New Roman" w:hAnsi="Times New Roman" w:cs="Times New Roman"/>
          <w:b/>
          <w:sz w:val="24"/>
          <w:szCs w:val="24"/>
        </w:rPr>
      </w:pPr>
      <w:r w:rsidRPr="002511A1">
        <w:rPr>
          <w:rFonts w:ascii="Times New Roman" w:hAnsi="Times New Roman" w:cs="Times New Roman"/>
          <w:b/>
          <w:sz w:val="24"/>
          <w:szCs w:val="24"/>
        </w:rPr>
        <w:t>Fuente: Procuraduría Anticorrupción</w:t>
      </w:r>
    </w:p>
    <w:p w:rsidR="00415248" w:rsidRPr="002511A1" w:rsidRDefault="00EB56DD" w:rsidP="00415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A1">
        <w:rPr>
          <w:rFonts w:ascii="Times New Roman" w:hAnsi="Times New Roman" w:cs="Times New Roman"/>
          <w:sz w:val="24"/>
          <w:szCs w:val="24"/>
        </w:rPr>
        <w:t xml:space="preserve">De la figura 2, se observa que el tipo penal de corrupción se manifiesta en un 30,6% el peculado, en un 15,7% el tipo penal de colusión, en un 10,9% cohecho pasivo propio, </w:t>
      </w:r>
      <w:r w:rsidR="002A0B76" w:rsidRPr="002511A1">
        <w:rPr>
          <w:rFonts w:ascii="Times New Roman" w:hAnsi="Times New Roman" w:cs="Times New Roman"/>
          <w:sz w:val="24"/>
          <w:szCs w:val="24"/>
        </w:rPr>
        <w:t xml:space="preserve">en un 8,4% se considera el delito de enriquecimiento ilícito; en un 5,5% se indica el tipo penal de negociación incompatible, mientras tanto menor a 5% se considera demás deltas contra a administración pública.  </w:t>
      </w:r>
      <w:r w:rsidRPr="00251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6DD" w:rsidRPr="002511A1" w:rsidRDefault="00EB56DD" w:rsidP="00415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48" w:rsidRPr="002511A1" w:rsidRDefault="00415248" w:rsidP="00415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A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63360" behindDoc="1" locked="0" layoutInCell="1" allowOverlap="1" wp14:anchorId="6D0615AC" wp14:editId="1D7A68F7">
            <wp:simplePos x="0" y="0"/>
            <wp:positionH relativeFrom="column">
              <wp:posOffset>2540</wp:posOffset>
            </wp:positionH>
            <wp:positionV relativeFrom="paragraph">
              <wp:posOffset>302895</wp:posOffset>
            </wp:positionV>
            <wp:extent cx="5608955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95" y="21454"/>
                <wp:lineTo x="21495" y="0"/>
                <wp:lineTo x="0" y="0"/>
              </wp:wrapPolygon>
            </wp:wrapTight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1A1">
        <w:rPr>
          <w:rFonts w:ascii="Times New Roman" w:hAnsi="Times New Roman" w:cs="Times New Roman"/>
          <w:sz w:val="24"/>
          <w:szCs w:val="24"/>
        </w:rPr>
        <w:t xml:space="preserve">Figura 3, sentencias registradas por la procuraduría anticorrupción 2010 y 2011 </w:t>
      </w:r>
    </w:p>
    <w:p w:rsidR="00415248" w:rsidRPr="002511A1" w:rsidRDefault="00415248" w:rsidP="00415248">
      <w:pPr>
        <w:rPr>
          <w:rFonts w:ascii="Times New Roman" w:hAnsi="Times New Roman" w:cs="Times New Roman"/>
          <w:b/>
          <w:sz w:val="24"/>
          <w:szCs w:val="24"/>
        </w:rPr>
      </w:pPr>
      <w:r w:rsidRPr="002511A1">
        <w:rPr>
          <w:rFonts w:ascii="Times New Roman" w:hAnsi="Times New Roman" w:cs="Times New Roman"/>
          <w:b/>
          <w:sz w:val="24"/>
          <w:szCs w:val="24"/>
        </w:rPr>
        <w:t>Fuente: Procuraduría Anticorrupción</w:t>
      </w:r>
    </w:p>
    <w:p w:rsidR="002A0B76" w:rsidRPr="002511A1" w:rsidRDefault="002A0B76" w:rsidP="00415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A1">
        <w:rPr>
          <w:rFonts w:ascii="Times New Roman" w:hAnsi="Times New Roman" w:cs="Times New Roman"/>
          <w:sz w:val="24"/>
          <w:szCs w:val="24"/>
        </w:rPr>
        <w:lastRenderedPageBreak/>
        <w:t xml:space="preserve">De la Figura 3, se observa que en un 58% de los casos de delitos de corrupción son sentencias absolutorias, en un 31% comprende a sentencias definitivas con pena privativa de libertad efectiva, mientras en un 11% refiere a sentencias definitivas con pena privativa de libertad suspendidas. </w:t>
      </w:r>
    </w:p>
    <w:p w:rsidR="001C7691" w:rsidRPr="002511A1" w:rsidRDefault="001C7691" w:rsidP="00415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48" w:rsidRPr="002511A1" w:rsidRDefault="001C7691" w:rsidP="00415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A1">
        <w:rPr>
          <w:rFonts w:ascii="Times New Roman" w:hAnsi="Times New Roman" w:cs="Times New Roman"/>
          <w:sz w:val="24"/>
          <w:szCs w:val="24"/>
        </w:rPr>
        <w:t xml:space="preserve">Tabla 1, sentencias judiciales del año 2013 </w:t>
      </w:r>
    </w:p>
    <w:p w:rsidR="00415248" w:rsidRPr="002511A1" w:rsidRDefault="001C7691" w:rsidP="00415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A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65408" behindDoc="0" locked="0" layoutInCell="1" allowOverlap="1" wp14:anchorId="514C9684" wp14:editId="023728B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433060" cy="2397125"/>
            <wp:effectExtent l="0" t="0" r="0" b="3175"/>
            <wp:wrapNone/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C137D.tmp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9" t="19016" r="24811" b="46980"/>
                    <a:stretch/>
                  </pic:blipFill>
                  <pic:spPr bwMode="auto">
                    <a:xfrm>
                      <a:off x="0" y="0"/>
                      <a:ext cx="5433060" cy="239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D50" w:rsidRPr="002511A1" w:rsidRDefault="003C3D50" w:rsidP="00415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50" w:rsidRPr="002511A1" w:rsidRDefault="003C3D50" w:rsidP="00415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A1">
        <w:rPr>
          <w:rFonts w:ascii="Times New Roman" w:hAnsi="Times New Roman" w:cs="Times New Roman"/>
          <w:sz w:val="24"/>
          <w:szCs w:val="24"/>
        </w:rPr>
        <w:t>Conclusión</w:t>
      </w:r>
    </w:p>
    <w:p w:rsidR="003C3D50" w:rsidRPr="002511A1" w:rsidRDefault="003C3D50" w:rsidP="00415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50" w:rsidRPr="002511A1" w:rsidRDefault="003C3D50" w:rsidP="00415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50" w:rsidRPr="002511A1" w:rsidRDefault="003C3D50" w:rsidP="00415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50" w:rsidRPr="002511A1" w:rsidRDefault="003C3D50" w:rsidP="003C3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A1">
        <w:rPr>
          <w:rFonts w:ascii="Times New Roman" w:hAnsi="Times New Roman" w:cs="Times New Roman"/>
          <w:sz w:val="24"/>
          <w:szCs w:val="24"/>
        </w:rPr>
        <w:t xml:space="preserve">Referencia bibliográfica </w:t>
      </w:r>
    </w:p>
    <w:p w:rsidR="001C7691" w:rsidRPr="002511A1" w:rsidRDefault="001C7691" w:rsidP="003C3D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1A1">
        <w:rPr>
          <w:rFonts w:ascii="Times New Roman" w:hAnsi="Times New Roman" w:cs="Times New Roman"/>
          <w:sz w:val="24"/>
          <w:szCs w:val="24"/>
        </w:rPr>
        <w:t xml:space="preserve">Fuente: </w:t>
      </w:r>
      <w:r w:rsidRPr="002511A1">
        <w:rPr>
          <w:rFonts w:ascii="Times New Roman" w:hAnsi="Times New Roman" w:cs="Times New Roman"/>
          <w:b/>
          <w:sz w:val="24"/>
          <w:szCs w:val="24"/>
        </w:rPr>
        <w:t>Procuraduría Anticorrupción</w:t>
      </w:r>
    </w:p>
    <w:p w:rsidR="001C7691" w:rsidRPr="002511A1" w:rsidRDefault="001C7691" w:rsidP="003C3D5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1A1">
        <w:rPr>
          <w:rFonts w:ascii="Times New Roman" w:hAnsi="Times New Roman" w:cs="Times New Roman"/>
          <w:bCs/>
          <w:sz w:val="24"/>
          <w:szCs w:val="24"/>
        </w:rPr>
        <w:t xml:space="preserve">De la Tabla 1, se observa que los resultados sobre sentencia judiciales durante el año </w:t>
      </w:r>
      <w:r w:rsidR="009B0FF8" w:rsidRPr="002511A1">
        <w:rPr>
          <w:rFonts w:ascii="Times New Roman" w:hAnsi="Times New Roman" w:cs="Times New Roman"/>
          <w:bCs/>
          <w:sz w:val="24"/>
          <w:szCs w:val="24"/>
        </w:rPr>
        <w:t>2013, la</w:t>
      </w:r>
      <w:r w:rsidRPr="002511A1">
        <w:rPr>
          <w:rFonts w:ascii="Times New Roman" w:hAnsi="Times New Roman" w:cs="Times New Roman"/>
          <w:bCs/>
          <w:sz w:val="24"/>
          <w:szCs w:val="24"/>
        </w:rPr>
        <w:t xml:space="preserve"> procuraduría publica ha indicado que en procuradurías sectoriales muestra favorable, en procuraduría especializada es favorable y en regionales también muestra favorable.      </w:t>
      </w:r>
    </w:p>
    <w:p w:rsidR="001C7691" w:rsidRPr="002511A1" w:rsidRDefault="001C7691" w:rsidP="003C3D5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7691" w:rsidRPr="002511A1" w:rsidRDefault="001C7691" w:rsidP="003C3D5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1A1">
        <w:rPr>
          <w:rFonts w:ascii="Times New Roman" w:hAnsi="Times New Roman" w:cs="Times New Roman"/>
          <w:bCs/>
          <w:sz w:val="24"/>
          <w:szCs w:val="24"/>
        </w:rPr>
        <w:t>Tabla 2, sentencias seguid</w:t>
      </w:r>
      <w:bookmarkStart w:id="0" w:name="_GoBack"/>
      <w:bookmarkEnd w:id="0"/>
      <w:r w:rsidRPr="002511A1">
        <w:rPr>
          <w:rFonts w:ascii="Times New Roman" w:hAnsi="Times New Roman" w:cs="Times New Roman"/>
          <w:bCs/>
          <w:sz w:val="24"/>
          <w:szCs w:val="24"/>
        </w:rPr>
        <w:t>as por procuraduría 2013</w:t>
      </w:r>
    </w:p>
    <w:tbl>
      <w:tblPr>
        <w:tblW w:w="8807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1"/>
        <w:gridCol w:w="1151"/>
        <w:gridCol w:w="1508"/>
        <w:gridCol w:w="1517"/>
      </w:tblGrid>
      <w:tr w:rsidR="001C7691" w:rsidRPr="002511A1" w:rsidTr="004E5A4C">
        <w:trPr>
          <w:trHeight w:hRule="exact" w:val="804"/>
        </w:trPr>
        <w:tc>
          <w:tcPr>
            <w:tcW w:w="4631" w:type="dxa"/>
            <w:vMerge w:val="restart"/>
            <w:tcBorders>
              <w:top w:val="single" w:sz="8" w:space="0" w:color="7E2125"/>
            </w:tcBorders>
            <w:shd w:val="clear" w:color="auto" w:fill="CDA76E"/>
          </w:tcPr>
          <w:p w:rsidR="001C7691" w:rsidRPr="002511A1" w:rsidRDefault="001C7691" w:rsidP="00CC5BBC">
            <w:pPr>
              <w:spacing w:after="0" w:line="120" w:lineRule="exact"/>
              <w:rPr>
                <w:sz w:val="12"/>
                <w:szCs w:val="12"/>
              </w:rPr>
            </w:pPr>
          </w:p>
          <w:p w:rsidR="001C7691" w:rsidRPr="002511A1" w:rsidRDefault="001C7691" w:rsidP="00CC5BBC">
            <w:pPr>
              <w:spacing w:after="0" w:line="200" w:lineRule="exact"/>
              <w:rPr>
                <w:sz w:val="20"/>
                <w:szCs w:val="20"/>
              </w:rPr>
            </w:pPr>
          </w:p>
          <w:p w:rsidR="001C7691" w:rsidRPr="002511A1" w:rsidRDefault="001C7691" w:rsidP="00CC5BBC">
            <w:pPr>
              <w:spacing w:after="0" w:line="240" w:lineRule="auto"/>
              <w:ind w:left="465" w:right="4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P</w:t>
            </w:r>
            <w:r w:rsidRPr="002511A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 w:rsidRPr="002511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ocuradurías</w:t>
            </w:r>
            <w:r w:rsidRPr="002511A1"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2511A1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Públicas</w:t>
            </w:r>
          </w:p>
          <w:p w:rsidR="001C7691" w:rsidRPr="002511A1" w:rsidRDefault="001C7691" w:rsidP="00CC5BBC">
            <w:pPr>
              <w:spacing w:before="30" w:after="0" w:line="240" w:lineRule="auto"/>
              <w:ind w:left="1066" w:right="10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Sectoriales</w:t>
            </w:r>
          </w:p>
        </w:tc>
        <w:tc>
          <w:tcPr>
            <w:tcW w:w="4176" w:type="dxa"/>
            <w:gridSpan w:val="3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4E5A4C" w:rsidP="00CC5BBC">
            <w:pPr>
              <w:spacing w:before="34" w:after="0" w:line="240" w:lineRule="auto"/>
              <w:ind w:left="847" w:right="8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Número de </w:t>
            </w:r>
            <w:r w:rsidR="001C7691" w:rsidRPr="002511A1"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sentencias</w:t>
            </w:r>
          </w:p>
          <w:p w:rsidR="001C7691" w:rsidRPr="002511A1" w:rsidRDefault="004E5A4C" w:rsidP="004E5A4C">
            <w:pPr>
              <w:spacing w:before="30" w:after="0" w:line="240" w:lineRule="auto"/>
              <w:ind w:left="1301" w:right="12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(U</w:t>
            </w:r>
            <w:r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nidad</w:t>
            </w:r>
            <w:r w:rsidR="001C7691" w:rsidRPr="002511A1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)</w:t>
            </w:r>
          </w:p>
        </w:tc>
      </w:tr>
      <w:tr w:rsidR="001C7691" w:rsidRPr="002511A1" w:rsidTr="004E5A4C">
        <w:trPr>
          <w:trHeight w:hRule="exact" w:val="804"/>
        </w:trPr>
        <w:tc>
          <w:tcPr>
            <w:tcW w:w="4631" w:type="dxa"/>
            <w:vMerge/>
            <w:tcBorders>
              <w:bottom w:val="nil"/>
            </w:tcBorders>
            <w:shd w:val="clear" w:color="auto" w:fill="CDA76E"/>
          </w:tcPr>
          <w:p w:rsidR="001C7691" w:rsidRPr="002511A1" w:rsidRDefault="001C7691" w:rsidP="00CC5BBC"/>
        </w:tc>
        <w:tc>
          <w:tcPr>
            <w:tcW w:w="1151" w:type="dxa"/>
            <w:vMerge w:val="restart"/>
            <w:tcBorders>
              <w:top w:val="single" w:sz="8" w:space="0" w:color="7E2125"/>
            </w:tcBorders>
          </w:tcPr>
          <w:p w:rsidR="001C7691" w:rsidRPr="002511A1" w:rsidRDefault="001C7691" w:rsidP="00CC5BBC">
            <w:pPr>
              <w:spacing w:before="4" w:after="0" w:line="240" w:lineRule="auto"/>
              <w:rPr>
                <w:sz w:val="16"/>
                <w:szCs w:val="16"/>
              </w:rPr>
            </w:pPr>
          </w:p>
          <w:p w:rsidR="001C7691" w:rsidRPr="002511A1" w:rsidRDefault="001C7691" w:rsidP="00CC5BBC">
            <w:pPr>
              <w:spacing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>F</w:t>
            </w:r>
            <w:r w:rsidRPr="002511A1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2511A1">
              <w:rPr>
                <w:rFonts w:ascii="Arial" w:eastAsia="Arial" w:hAnsi="Arial" w:cs="Arial"/>
                <w:b/>
                <w:bCs/>
                <w:w w:val="101"/>
                <w:sz w:val="20"/>
                <w:szCs w:val="20"/>
              </w:rPr>
              <w:t>vorable</w:t>
            </w:r>
          </w:p>
          <w:p w:rsidR="001C7691" w:rsidRPr="002511A1" w:rsidRDefault="001C7691" w:rsidP="00CC5BBC">
            <w:pPr>
              <w:spacing w:before="2" w:after="0" w:line="240" w:lineRule="auto"/>
              <w:rPr>
                <w:sz w:val="14"/>
                <w:szCs w:val="14"/>
              </w:rPr>
            </w:pPr>
          </w:p>
          <w:p w:rsidR="001C7691" w:rsidRPr="002511A1" w:rsidRDefault="001C7691" w:rsidP="00CC5BBC">
            <w:pPr>
              <w:spacing w:after="0" w:line="240" w:lineRule="auto"/>
              <w:ind w:left="381" w:right="-20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2511A1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007</w:t>
            </w:r>
          </w:p>
        </w:tc>
        <w:tc>
          <w:tcPr>
            <w:tcW w:w="1508" w:type="dxa"/>
            <w:tcBorders>
              <w:top w:val="single" w:sz="8" w:space="0" w:color="7E2125"/>
              <w:bottom w:val="nil"/>
            </w:tcBorders>
            <w:shd w:val="clear" w:color="auto" w:fill="CDA76E"/>
          </w:tcPr>
          <w:p w:rsidR="001C7691" w:rsidRPr="002511A1" w:rsidRDefault="001C7691" w:rsidP="00CC5BBC">
            <w:pPr>
              <w:spacing w:before="4" w:after="0" w:line="240" w:lineRule="auto"/>
              <w:rPr>
                <w:sz w:val="16"/>
                <w:szCs w:val="16"/>
              </w:rPr>
            </w:pPr>
          </w:p>
          <w:p w:rsidR="001C7691" w:rsidRPr="002511A1" w:rsidRDefault="001C7691" w:rsidP="00CC5BBC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Desfavorable</w:t>
            </w:r>
          </w:p>
        </w:tc>
        <w:tc>
          <w:tcPr>
            <w:tcW w:w="1517" w:type="dxa"/>
            <w:tcBorders>
              <w:top w:val="single" w:sz="8" w:space="0" w:color="7E2125"/>
              <w:bottom w:val="nil"/>
            </w:tcBorders>
            <w:shd w:val="clear" w:color="auto" w:fill="CDA76E"/>
          </w:tcPr>
          <w:p w:rsidR="001C7691" w:rsidRPr="002511A1" w:rsidRDefault="001C7691" w:rsidP="00CC5BBC">
            <w:pPr>
              <w:spacing w:before="34" w:after="0" w:line="240" w:lineRule="auto"/>
              <w:ind w:left="112" w:right="29" w:hanging="14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>P</w:t>
            </w:r>
            <w:r w:rsidRPr="002511A1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2511A1">
              <w:rPr>
                <w:rFonts w:ascii="Arial" w:eastAsia="Arial" w:hAnsi="Arial" w:cs="Arial"/>
                <w:b/>
                <w:bCs/>
                <w:spacing w:val="-3"/>
                <w:w w:val="110"/>
                <w:sz w:val="20"/>
                <w:szCs w:val="20"/>
              </w:rPr>
              <w:t>r</w:t>
            </w:r>
            <w:r w:rsidRPr="002511A1">
              <w:rPr>
                <w:rFonts w:ascii="Arial" w:eastAsia="Arial" w:hAnsi="Arial" w:cs="Arial"/>
                <w:b/>
                <w:bCs/>
                <w:w w:val="88"/>
                <w:sz w:val="20"/>
                <w:szCs w:val="20"/>
              </w:rPr>
              <w:t>c</w:t>
            </w:r>
            <w:r w:rsidRPr="002511A1">
              <w:rPr>
                <w:rFonts w:ascii="Arial" w:eastAsia="Arial" w:hAnsi="Arial" w:cs="Arial"/>
                <w:b/>
                <w:bCs/>
                <w:w w:val="104"/>
                <w:sz w:val="20"/>
                <w:szCs w:val="20"/>
              </w:rPr>
              <w:t xml:space="preserve">ialmente </w:t>
            </w:r>
            <w:r w:rsidRPr="002511A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desfavorable</w:t>
            </w:r>
          </w:p>
        </w:tc>
      </w:tr>
      <w:tr w:rsidR="001C7691" w:rsidRPr="002511A1" w:rsidTr="004E5A4C">
        <w:trPr>
          <w:trHeight w:hRule="exact" w:val="369"/>
        </w:trPr>
        <w:tc>
          <w:tcPr>
            <w:tcW w:w="4631" w:type="dxa"/>
            <w:tcBorders>
              <w:top w:val="nil"/>
              <w:bottom w:val="single" w:sz="8" w:space="0" w:color="7E2125"/>
            </w:tcBorders>
            <w:shd w:val="clear" w:color="auto" w:fill="EDDDC7"/>
          </w:tcPr>
          <w:p w:rsidR="001C7691" w:rsidRPr="002511A1" w:rsidRDefault="004E5A4C" w:rsidP="00CC5BBC">
            <w:pPr>
              <w:spacing w:before="44" w:after="0" w:line="240" w:lineRule="auto"/>
              <w:ind w:left="70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MTPE</w:t>
            </w:r>
          </w:p>
        </w:tc>
        <w:tc>
          <w:tcPr>
            <w:tcW w:w="1151" w:type="dxa"/>
            <w:vMerge/>
            <w:tcBorders>
              <w:bottom w:val="single" w:sz="8" w:space="0" w:color="7E2125"/>
            </w:tcBorders>
          </w:tcPr>
          <w:p w:rsidR="001C7691" w:rsidRPr="002511A1" w:rsidRDefault="001C7691" w:rsidP="00CC5BBC">
            <w:pPr>
              <w:spacing w:line="240" w:lineRule="auto"/>
            </w:pPr>
          </w:p>
        </w:tc>
        <w:tc>
          <w:tcPr>
            <w:tcW w:w="1508" w:type="dxa"/>
            <w:tcBorders>
              <w:top w:val="nil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0</w:t>
            </w:r>
          </w:p>
        </w:tc>
      </w:tr>
      <w:tr w:rsidR="001C7691" w:rsidRPr="002511A1" w:rsidTr="004E5A4C">
        <w:trPr>
          <w:trHeight w:hRule="exact" w:val="444"/>
        </w:trPr>
        <w:tc>
          <w:tcPr>
            <w:tcW w:w="4631" w:type="dxa"/>
            <w:tcBorders>
              <w:top w:val="single" w:sz="8" w:space="0" w:color="7E2125"/>
              <w:bottom w:val="single" w:sz="8" w:space="0" w:color="7E2125"/>
            </w:tcBorders>
            <w:shd w:val="clear" w:color="auto" w:fill="EDDDC7"/>
          </w:tcPr>
          <w:p w:rsidR="001C7691" w:rsidRPr="002511A1" w:rsidRDefault="001C7691" w:rsidP="00CC5BBC">
            <w:pPr>
              <w:spacing w:before="34" w:after="0" w:line="240" w:lineRule="auto"/>
              <w:ind w:left="70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10"/>
                <w:sz w:val="20"/>
                <w:szCs w:val="20"/>
              </w:rPr>
              <w:t>Ministerio</w:t>
            </w:r>
            <w:r w:rsidRPr="002511A1"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 xml:space="preserve"> </w:t>
            </w:r>
            <w:r w:rsidRPr="002511A1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2511A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511A1">
              <w:rPr>
                <w:rFonts w:ascii="Arial" w:eastAsia="Arial" w:hAnsi="Arial" w:cs="Arial"/>
                <w:spacing w:val="-26"/>
                <w:sz w:val="20"/>
                <w:szCs w:val="20"/>
              </w:rPr>
              <w:t>T</w:t>
            </w:r>
            <w:r w:rsidRPr="002511A1">
              <w:rPr>
                <w:rFonts w:ascii="Arial" w:eastAsia="Arial" w:hAnsi="Arial" w:cs="Arial"/>
                <w:sz w:val="20"/>
                <w:szCs w:val="20"/>
              </w:rPr>
              <w:t>ransportes</w:t>
            </w:r>
            <w:r w:rsidRPr="002511A1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2511A1">
              <w:rPr>
                <w:rFonts w:ascii="Arial" w:eastAsia="Arial" w:hAnsi="Arial" w:cs="Arial"/>
                <w:w w:val="107"/>
                <w:sz w:val="20"/>
                <w:szCs w:val="20"/>
              </w:rPr>
              <w:t xml:space="preserve">y </w:t>
            </w:r>
            <w:r w:rsidRPr="002511A1">
              <w:rPr>
                <w:rFonts w:ascii="Arial" w:eastAsia="Arial" w:hAnsi="Arial" w:cs="Arial"/>
                <w:sz w:val="20"/>
                <w:szCs w:val="20"/>
              </w:rPr>
              <w:t>Comunicaciones</w:t>
            </w:r>
          </w:p>
        </w:tc>
        <w:tc>
          <w:tcPr>
            <w:tcW w:w="1151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left="5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2511A1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179</w:t>
            </w:r>
          </w:p>
        </w:tc>
        <w:tc>
          <w:tcPr>
            <w:tcW w:w="1508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left="848" w:right="-20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2511A1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727</w:t>
            </w:r>
          </w:p>
        </w:tc>
        <w:tc>
          <w:tcPr>
            <w:tcW w:w="1517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70</w:t>
            </w:r>
          </w:p>
        </w:tc>
      </w:tr>
      <w:tr w:rsidR="001C7691" w:rsidRPr="002511A1" w:rsidTr="0083198B">
        <w:trPr>
          <w:trHeight w:hRule="exact" w:val="653"/>
        </w:trPr>
        <w:tc>
          <w:tcPr>
            <w:tcW w:w="4631" w:type="dxa"/>
            <w:tcBorders>
              <w:top w:val="single" w:sz="8" w:space="0" w:color="7E2125"/>
              <w:bottom w:val="single" w:sz="8" w:space="0" w:color="7E2125"/>
            </w:tcBorders>
            <w:shd w:val="clear" w:color="auto" w:fill="EDDDC7"/>
          </w:tcPr>
          <w:p w:rsidR="001C7691" w:rsidRPr="002511A1" w:rsidRDefault="001C7691" w:rsidP="00CC5BBC">
            <w:pPr>
              <w:spacing w:before="34" w:after="0" w:line="240" w:lineRule="auto"/>
              <w:ind w:left="70" w:right="5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10"/>
                <w:sz w:val="20"/>
                <w:szCs w:val="20"/>
              </w:rPr>
              <w:t>Ministerio</w:t>
            </w:r>
            <w:r w:rsidRPr="002511A1"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 xml:space="preserve"> </w:t>
            </w:r>
            <w:r w:rsidRPr="002511A1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2511A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511A1">
              <w:rPr>
                <w:rFonts w:ascii="Arial" w:eastAsia="Arial" w:hAnsi="Arial" w:cs="Arial"/>
                <w:spacing w:val="-7"/>
                <w:w w:val="115"/>
                <w:sz w:val="20"/>
                <w:szCs w:val="20"/>
              </w:rPr>
              <w:t>V</w:t>
            </w:r>
            <w:r w:rsidRPr="002511A1">
              <w:rPr>
                <w:rFonts w:ascii="Arial" w:eastAsia="Arial" w:hAnsi="Arial" w:cs="Arial"/>
                <w:w w:val="133"/>
                <w:sz w:val="20"/>
                <w:szCs w:val="20"/>
              </w:rPr>
              <w:t>i</w:t>
            </w:r>
            <w:r w:rsidRPr="002511A1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vienda, </w:t>
            </w:r>
            <w:r w:rsidRPr="002511A1">
              <w:rPr>
                <w:rFonts w:ascii="Arial" w:eastAsia="Arial" w:hAnsi="Arial" w:cs="Arial"/>
                <w:sz w:val="20"/>
                <w:szCs w:val="20"/>
              </w:rPr>
              <w:t>Const</w:t>
            </w:r>
            <w:r w:rsidRPr="002511A1"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 w:rsidRPr="002511A1">
              <w:rPr>
                <w:rFonts w:ascii="Arial" w:eastAsia="Arial" w:hAnsi="Arial" w:cs="Arial"/>
                <w:sz w:val="20"/>
                <w:szCs w:val="20"/>
              </w:rPr>
              <w:t>ucción</w:t>
            </w:r>
            <w:r w:rsidRPr="002511A1"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 w:rsidRPr="002511A1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2511A1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 </w:t>
            </w:r>
            <w:r w:rsidRPr="002511A1">
              <w:rPr>
                <w:rFonts w:ascii="Arial" w:eastAsia="Arial" w:hAnsi="Arial" w:cs="Arial"/>
                <w:sz w:val="20"/>
                <w:szCs w:val="20"/>
              </w:rPr>
              <w:t>Saneamiento</w:t>
            </w:r>
          </w:p>
        </w:tc>
        <w:tc>
          <w:tcPr>
            <w:tcW w:w="1151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30</w:t>
            </w:r>
          </w:p>
        </w:tc>
        <w:tc>
          <w:tcPr>
            <w:tcW w:w="1508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47</w:t>
            </w:r>
          </w:p>
        </w:tc>
        <w:tc>
          <w:tcPr>
            <w:tcW w:w="1517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5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1</w:t>
            </w:r>
          </w:p>
        </w:tc>
      </w:tr>
      <w:tr w:rsidR="001C7691" w:rsidRPr="002511A1" w:rsidTr="004E5A4C">
        <w:trPr>
          <w:trHeight w:hRule="exact" w:val="410"/>
        </w:trPr>
        <w:tc>
          <w:tcPr>
            <w:tcW w:w="4631" w:type="dxa"/>
            <w:tcBorders>
              <w:top w:val="single" w:sz="8" w:space="0" w:color="7E2125"/>
              <w:bottom w:val="single" w:sz="8" w:space="0" w:color="7E2125"/>
            </w:tcBorders>
            <w:shd w:val="clear" w:color="auto" w:fill="EDDDC7"/>
          </w:tcPr>
          <w:p w:rsidR="001C7691" w:rsidRPr="002511A1" w:rsidRDefault="001C7691" w:rsidP="00CC5BBC">
            <w:pPr>
              <w:spacing w:before="34" w:after="0" w:line="240" w:lineRule="auto"/>
              <w:ind w:left="70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spacing w:val="-4"/>
                <w:sz w:val="20"/>
                <w:szCs w:val="20"/>
              </w:rPr>
              <w:t>Pr</w:t>
            </w:r>
            <w:r w:rsidRPr="002511A1">
              <w:rPr>
                <w:rFonts w:ascii="Arial" w:eastAsia="Arial" w:hAnsi="Arial" w:cs="Arial"/>
                <w:sz w:val="20"/>
                <w:szCs w:val="20"/>
              </w:rPr>
              <w:t>esidencia</w:t>
            </w:r>
            <w:r w:rsidRPr="002511A1"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 w:rsidRPr="002511A1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2511A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511A1">
              <w:rPr>
                <w:rFonts w:ascii="Arial" w:eastAsia="Arial" w:hAnsi="Arial" w:cs="Arial"/>
                <w:sz w:val="20"/>
                <w:szCs w:val="20"/>
              </w:rPr>
              <w:t>Consejo</w:t>
            </w:r>
            <w:r w:rsidRPr="002511A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2511A1"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 w:rsidRPr="002511A1">
              <w:rPr>
                <w:rFonts w:ascii="Arial" w:eastAsia="Arial" w:hAnsi="Arial" w:cs="Arial"/>
                <w:w w:val="115"/>
                <w:sz w:val="20"/>
                <w:szCs w:val="20"/>
              </w:rPr>
              <w:t>Minist</w:t>
            </w:r>
            <w:r w:rsidRPr="002511A1">
              <w:rPr>
                <w:rFonts w:ascii="Arial" w:eastAsia="Arial" w:hAnsi="Arial" w:cs="Arial"/>
                <w:spacing w:val="-4"/>
                <w:w w:val="115"/>
                <w:sz w:val="20"/>
                <w:szCs w:val="20"/>
              </w:rPr>
              <w:t>r</w:t>
            </w:r>
            <w:r w:rsidRPr="002511A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2511A1"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</w:p>
        </w:tc>
        <w:tc>
          <w:tcPr>
            <w:tcW w:w="1151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left="5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2511A1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342</w:t>
            </w:r>
          </w:p>
        </w:tc>
        <w:tc>
          <w:tcPr>
            <w:tcW w:w="1508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84</w:t>
            </w:r>
          </w:p>
        </w:tc>
        <w:tc>
          <w:tcPr>
            <w:tcW w:w="1517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93</w:t>
            </w:r>
          </w:p>
        </w:tc>
      </w:tr>
      <w:tr w:rsidR="001C7691" w:rsidRPr="002511A1" w:rsidTr="0083198B">
        <w:trPr>
          <w:trHeight w:hRule="exact" w:val="460"/>
        </w:trPr>
        <w:tc>
          <w:tcPr>
            <w:tcW w:w="4631" w:type="dxa"/>
            <w:tcBorders>
              <w:top w:val="single" w:sz="8" w:space="0" w:color="7E2125"/>
              <w:bottom w:val="single" w:sz="8" w:space="0" w:color="7E2125"/>
            </w:tcBorders>
            <w:shd w:val="clear" w:color="auto" w:fill="EDDDC7"/>
          </w:tcPr>
          <w:p w:rsidR="001C7691" w:rsidRPr="002511A1" w:rsidRDefault="004E5A4C" w:rsidP="00CC5BBC">
            <w:pPr>
              <w:spacing w:before="48" w:after="0" w:line="240" w:lineRule="auto"/>
              <w:ind w:left="70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Fuerzas Armadas (Ejercito) - Perú</w:t>
            </w:r>
          </w:p>
        </w:tc>
        <w:tc>
          <w:tcPr>
            <w:tcW w:w="1151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before="48" w:after="0" w:line="240" w:lineRule="auto"/>
              <w:ind w:left="6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347</w:t>
            </w:r>
          </w:p>
        </w:tc>
        <w:tc>
          <w:tcPr>
            <w:tcW w:w="1508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before="48"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542</w:t>
            </w:r>
          </w:p>
        </w:tc>
        <w:tc>
          <w:tcPr>
            <w:tcW w:w="1517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before="48"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0</w:t>
            </w:r>
          </w:p>
        </w:tc>
      </w:tr>
      <w:tr w:rsidR="001C7691" w:rsidRPr="002511A1" w:rsidTr="0083198B">
        <w:trPr>
          <w:trHeight w:hRule="exact" w:val="396"/>
        </w:trPr>
        <w:tc>
          <w:tcPr>
            <w:tcW w:w="4631" w:type="dxa"/>
            <w:tcBorders>
              <w:top w:val="single" w:sz="8" w:space="0" w:color="7E2125"/>
              <w:bottom w:val="single" w:sz="8" w:space="0" w:color="7E2125"/>
            </w:tcBorders>
            <w:shd w:val="clear" w:color="auto" w:fill="EDDDC7"/>
          </w:tcPr>
          <w:p w:rsidR="001C7691" w:rsidRPr="002511A1" w:rsidRDefault="001C7691" w:rsidP="00CC5BBC">
            <w:pPr>
              <w:spacing w:before="48" w:after="0" w:line="240" w:lineRule="auto"/>
              <w:ind w:left="70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spacing w:val="-7"/>
                <w:sz w:val="20"/>
                <w:szCs w:val="20"/>
              </w:rPr>
              <w:t>F</w:t>
            </w:r>
            <w:r w:rsidRPr="002511A1">
              <w:rPr>
                <w:rFonts w:ascii="Arial" w:eastAsia="Arial" w:hAnsi="Arial" w:cs="Arial"/>
                <w:sz w:val="20"/>
                <w:szCs w:val="20"/>
              </w:rPr>
              <w:t>ue</w:t>
            </w:r>
            <w:r w:rsidRPr="002511A1"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 w:rsidRPr="002511A1">
              <w:rPr>
                <w:rFonts w:ascii="Arial" w:eastAsia="Arial" w:hAnsi="Arial" w:cs="Arial"/>
                <w:sz w:val="20"/>
                <w:szCs w:val="20"/>
              </w:rPr>
              <w:t>za</w:t>
            </w:r>
            <w:r w:rsidR="004E5A4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511A1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="004E5A4C">
              <w:rPr>
                <w:rFonts w:ascii="Arial" w:eastAsia="Arial" w:hAnsi="Arial" w:cs="Arial"/>
                <w:sz w:val="20"/>
                <w:szCs w:val="20"/>
              </w:rPr>
              <w:t>Armadas (Área)</w:t>
            </w:r>
            <w:r w:rsidRPr="002511A1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="004E5A4C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- </w:t>
            </w:r>
            <w:r w:rsidRPr="002511A1">
              <w:rPr>
                <w:rFonts w:ascii="Arial" w:eastAsia="Arial" w:hAnsi="Arial" w:cs="Arial"/>
                <w:spacing w:val="-15"/>
                <w:sz w:val="20"/>
                <w:szCs w:val="20"/>
              </w:rPr>
              <w:t>P</w:t>
            </w:r>
            <w:r w:rsidRPr="002511A1">
              <w:rPr>
                <w:rFonts w:ascii="Arial" w:eastAsia="Arial" w:hAnsi="Arial" w:cs="Arial"/>
                <w:sz w:val="20"/>
                <w:szCs w:val="20"/>
              </w:rPr>
              <w:t>erú</w:t>
            </w:r>
          </w:p>
        </w:tc>
        <w:tc>
          <w:tcPr>
            <w:tcW w:w="1151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before="48" w:after="0" w:line="240" w:lineRule="auto"/>
              <w:ind w:left="6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427</w:t>
            </w:r>
          </w:p>
        </w:tc>
        <w:tc>
          <w:tcPr>
            <w:tcW w:w="1508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before="48"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154</w:t>
            </w:r>
          </w:p>
        </w:tc>
        <w:tc>
          <w:tcPr>
            <w:tcW w:w="1517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before="48"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3</w:t>
            </w:r>
          </w:p>
        </w:tc>
      </w:tr>
      <w:tr w:rsidR="001C7691" w:rsidRPr="002511A1" w:rsidTr="0083198B">
        <w:trPr>
          <w:trHeight w:hRule="exact" w:val="345"/>
        </w:trPr>
        <w:tc>
          <w:tcPr>
            <w:tcW w:w="4631" w:type="dxa"/>
            <w:tcBorders>
              <w:top w:val="single" w:sz="8" w:space="0" w:color="7E2125"/>
              <w:bottom w:val="single" w:sz="8" w:space="0" w:color="7E2125"/>
            </w:tcBorders>
            <w:shd w:val="clear" w:color="auto" w:fill="EDDDC7"/>
          </w:tcPr>
          <w:p w:rsidR="001C7691" w:rsidRPr="002511A1" w:rsidRDefault="004E5A4C" w:rsidP="004E5A4C">
            <w:pPr>
              <w:spacing w:before="48" w:after="0" w:line="240" w:lineRule="auto"/>
              <w:ind w:left="70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Fuerzas Armadas (</w:t>
            </w:r>
            <w:r w:rsidR="001C7691" w:rsidRPr="002511A1">
              <w:rPr>
                <w:rFonts w:ascii="Arial" w:eastAsia="Arial" w:hAnsi="Arial" w:cs="Arial"/>
                <w:sz w:val="20"/>
                <w:szCs w:val="20"/>
              </w:rPr>
              <w:t>Marina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) - </w:t>
            </w:r>
            <w:r w:rsidR="001C7691" w:rsidRPr="002511A1">
              <w:rPr>
                <w:rFonts w:ascii="Arial" w:eastAsia="Arial" w:hAnsi="Arial" w:cs="Arial"/>
                <w:spacing w:val="-15"/>
                <w:sz w:val="20"/>
                <w:szCs w:val="20"/>
              </w:rPr>
              <w:t>P</w:t>
            </w:r>
            <w:r w:rsidR="001C7691" w:rsidRPr="002511A1">
              <w:rPr>
                <w:rFonts w:ascii="Arial" w:eastAsia="Arial" w:hAnsi="Arial" w:cs="Arial"/>
                <w:sz w:val="20"/>
                <w:szCs w:val="20"/>
              </w:rPr>
              <w:t>erú</w:t>
            </w:r>
          </w:p>
        </w:tc>
        <w:tc>
          <w:tcPr>
            <w:tcW w:w="1151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before="48" w:after="0" w:line="240" w:lineRule="auto"/>
              <w:ind w:left="6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570</w:t>
            </w:r>
          </w:p>
        </w:tc>
        <w:tc>
          <w:tcPr>
            <w:tcW w:w="1508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before="48"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383</w:t>
            </w:r>
          </w:p>
        </w:tc>
        <w:tc>
          <w:tcPr>
            <w:tcW w:w="1517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before="48"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3</w:t>
            </w:r>
          </w:p>
        </w:tc>
      </w:tr>
      <w:tr w:rsidR="001C7691" w:rsidRPr="002511A1" w:rsidTr="0083198B">
        <w:trPr>
          <w:trHeight w:hRule="exact" w:val="275"/>
        </w:trPr>
        <w:tc>
          <w:tcPr>
            <w:tcW w:w="4631" w:type="dxa"/>
            <w:tcBorders>
              <w:top w:val="single" w:sz="8" w:space="0" w:color="7E2125"/>
              <w:bottom w:val="single" w:sz="8" w:space="0" w:color="7E2125"/>
            </w:tcBorders>
            <w:shd w:val="clear" w:color="auto" w:fill="EDDDC7"/>
          </w:tcPr>
          <w:p w:rsidR="001C7691" w:rsidRPr="002511A1" w:rsidRDefault="004E5A4C" w:rsidP="00CC5BBC">
            <w:pPr>
              <w:spacing w:before="34" w:after="0" w:line="240" w:lineRule="auto"/>
              <w:ind w:left="70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SERVIR</w:t>
            </w:r>
          </w:p>
        </w:tc>
        <w:tc>
          <w:tcPr>
            <w:tcW w:w="1151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19</w:t>
            </w:r>
          </w:p>
        </w:tc>
        <w:tc>
          <w:tcPr>
            <w:tcW w:w="1508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0</w:t>
            </w:r>
          </w:p>
        </w:tc>
      </w:tr>
      <w:tr w:rsidR="001C7691" w:rsidRPr="002511A1" w:rsidTr="0083198B">
        <w:trPr>
          <w:trHeight w:hRule="exact" w:val="279"/>
        </w:trPr>
        <w:tc>
          <w:tcPr>
            <w:tcW w:w="4631" w:type="dxa"/>
            <w:tcBorders>
              <w:top w:val="single" w:sz="8" w:space="0" w:color="7E2125"/>
              <w:bottom w:val="single" w:sz="8" w:space="0" w:color="7E2125"/>
            </w:tcBorders>
            <w:shd w:val="clear" w:color="auto" w:fill="EDDDC7"/>
          </w:tcPr>
          <w:p w:rsidR="001C7691" w:rsidRPr="002511A1" w:rsidRDefault="004E5A4C" w:rsidP="00CC5BBC">
            <w:pPr>
              <w:spacing w:before="34" w:after="0" w:line="240" w:lineRule="auto"/>
              <w:ind w:left="7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FONDEPES</w:t>
            </w:r>
          </w:p>
        </w:tc>
        <w:tc>
          <w:tcPr>
            <w:tcW w:w="1151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left="5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2511A1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241</w:t>
            </w:r>
          </w:p>
        </w:tc>
        <w:tc>
          <w:tcPr>
            <w:tcW w:w="1508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34</w:t>
            </w:r>
          </w:p>
        </w:tc>
      </w:tr>
      <w:tr w:rsidR="001C7691" w:rsidRPr="002511A1" w:rsidTr="0083198B">
        <w:trPr>
          <w:trHeight w:hRule="exact" w:val="297"/>
        </w:trPr>
        <w:tc>
          <w:tcPr>
            <w:tcW w:w="4631" w:type="dxa"/>
            <w:tcBorders>
              <w:top w:val="single" w:sz="8" w:space="0" w:color="7E2125"/>
              <w:bottom w:val="single" w:sz="8" w:space="0" w:color="7E2125"/>
            </w:tcBorders>
            <w:shd w:val="clear" w:color="auto" w:fill="EDDDC7"/>
          </w:tcPr>
          <w:p w:rsidR="001C7691" w:rsidRPr="002511A1" w:rsidRDefault="004E5A4C" w:rsidP="00CC5BBC">
            <w:pPr>
              <w:spacing w:before="48" w:after="0" w:line="240" w:lineRule="auto"/>
              <w:ind w:left="7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>INPE</w:t>
            </w:r>
          </w:p>
        </w:tc>
        <w:tc>
          <w:tcPr>
            <w:tcW w:w="1151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before="48" w:after="0" w:line="240" w:lineRule="auto"/>
              <w:ind w:left="6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395</w:t>
            </w:r>
          </w:p>
        </w:tc>
        <w:tc>
          <w:tcPr>
            <w:tcW w:w="1508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before="48"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76</w:t>
            </w:r>
          </w:p>
        </w:tc>
        <w:tc>
          <w:tcPr>
            <w:tcW w:w="1517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before="48"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0</w:t>
            </w:r>
          </w:p>
        </w:tc>
      </w:tr>
      <w:tr w:rsidR="001C7691" w:rsidRPr="002511A1" w:rsidTr="0083198B">
        <w:trPr>
          <w:trHeight w:hRule="exact" w:val="287"/>
        </w:trPr>
        <w:tc>
          <w:tcPr>
            <w:tcW w:w="4631" w:type="dxa"/>
            <w:tcBorders>
              <w:top w:val="single" w:sz="8" w:space="0" w:color="7E2125"/>
              <w:bottom w:val="single" w:sz="8" w:space="0" w:color="7E2125"/>
            </w:tcBorders>
            <w:shd w:val="clear" w:color="auto" w:fill="EDDDC7"/>
          </w:tcPr>
          <w:p w:rsidR="001C7691" w:rsidRPr="002511A1" w:rsidRDefault="0083198B" w:rsidP="00CC5BBC">
            <w:pPr>
              <w:spacing w:before="34" w:after="0" w:line="240" w:lineRule="auto"/>
              <w:ind w:left="7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OEFA</w:t>
            </w:r>
          </w:p>
        </w:tc>
        <w:tc>
          <w:tcPr>
            <w:tcW w:w="1151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67</w:t>
            </w:r>
          </w:p>
        </w:tc>
        <w:tc>
          <w:tcPr>
            <w:tcW w:w="1508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0</w:t>
            </w:r>
          </w:p>
        </w:tc>
      </w:tr>
      <w:tr w:rsidR="001C7691" w:rsidRPr="002511A1" w:rsidTr="0083198B">
        <w:trPr>
          <w:trHeight w:hRule="exact" w:val="277"/>
        </w:trPr>
        <w:tc>
          <w:tcPr>
            <w:tcW w:w="4631" w:type="dxa"/>
            <w:tcBorders>
              <w:top w:val="single" w:sz="8" w:space="0" w:color="7E2125"/>
              <w:bottom w:val="single" w:sz="8" w:space="0" w:color="7E2125"/>
            </w:tcBorders>
            <w:shd w:val="clear" w:color="auto" w:fill="EDDDC7"/>
          </w:tcPr>
          <w:p w:rsidR="001C7691" w:rsidRPr="002511A1" w:rsidRDefault="004E5A4C" w:rsidP="00CC5BBC">
            <w:pPr>
              <w:spacing w:before="34" w:after="0" w:line="240" w:lineRule="auto"/>
              <w:ind w:left="7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COFOPRI</w:t>
            </w:r>
          </w:p>
        </w:tc>
        <w:tc>
          <w:tcPr>
            <w:tcW w:w="1151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left="6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550</w:t>
            </w:r>
          </w:p>
        </w:tc>
        <w:tc>
          <w:tcPr>
            <w:tcW w:w="1508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404</w:t>
            </w:r>
          </w:p>
        </w:tc>
        <w:tc>
          <w:tcPr>
            <w:tcW w:w="1517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9</w:t>
            </w:r>
          </w:p>
        </w:tc>
      </w:tr>
      <w:tr w:rsidR="001C7691" w:rsidRPr="002511A1" w:rsidTr="0083198B">
        <w:trPr>
          <w:trHeight w:hRule="exact" w:val="281"/>
        </w:trPr>
        <w:tc>
          <w:tcPr>
            <w:tcW w:w="4631" w:type="dxa"/>
            <w:tcBorders>
              <w:top w:val="single" w:sz="8" w:space="0" w:color="7E2125"/>
              <w:bottom w:val="single" w:sz="8" w:space="0" w:color="7E2125"/>
            </w:tcBorders>
            <w:shd w:val="clear" w:color="auto" w:fill="EDDDC7"/>
          </w:tcPr>
          <w:p w:rsidR="001C7691" w:rsidRPr="002511A1" w:rsidRDefault="004E5A4C" w:rsidP="00CC5BBC">
            <w:pPr>
              <w:spacing w:before="34" w:after="0" w:line="240" w:lineRule="auto"/>
              <w:ind w:left="7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OSCE</w:t>
            </w:r>
          </w:p>
        </w:tc>
        <w:tc>
          <w:tcPr>
            <w:tcW w:w="1151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left="6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195</w:t>
            </w:r>
          </w:p>
        </w:tc>
        <w:tc>
          <w:tcPr>
            <w:tcW w:w="1508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38</w:t>
            </w:r>
          </w:p>
        </w:tc>
        <w:tc>
          <w:tcPr>
            <w:tcW w:w="1517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0</w:t>
            </w:r>
          </w:p>
        </w:tc>
      </w:tr>
      <w:tr w:rsidR="001C7691" w:rsidRPr="002511A1" w:rsidTr="0083198B">
        <w:trPr>
          <w:trHeight w:hRule="exact" w:val="285"/>
        </w:trPr>
        <w:tc>
          <w:tcPr>
            <w:tcW w:w="4631" w:type="dxa"/>
            <w:tcBorders>
              <w:top w:val="single" w:sz="8" w:space="0" w:color="7E2125"/>
              <w:bottom w:val="single" w:sz="8" w:space="0" w:color="7E2125"/>
            </w:tcBorders>
            <w:shd w:val="clear" w:color="auto" w:fill="EDDDC7"/>
          </w:tcPr>
          <w:p w:rsidR="001C7691" w:rsidRPr="002511A1" w:rsidRDefault="004E5A4C" w:rsidP="00CC5BBC">
            <w:pPr>
              <w:spacing w:before="34" w:after="0" w:line="240" w:lineRule="auto"/>
              <w:ind w:left="7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OSITRAN</w:t>
            </w:r>
          </w:p>
        </w:tc>
        <w:tc>
          <w:tcPr>
            <w:tcW w:w="1151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32</w:t>
            </w:r>
          </w:p>
        </w:tc>
        <w:tc>
          <w:tcPr>
            <w:tcW w:w="1508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0</w:t>
            </w:r>
          </w:p>
        </w:tc>
      </w:tr>
      <w:tr w:rsidR="001C7691" w:rsidRPr="002511A1" w:rsidTr="0083198B">
        <w:trPr>
          <w:trHeight w:hRule="exact" w:val="289"/>
        </w:trPr>
        <w:tc>
          <w:tcPr>
            <w:tcW w:w="4631" w:type="dxa"/>
            <w:tcBorders>
              <w:top w:val="single" w:sz="8" w:space="0" w:color="7E2125"/>
              <w:bottom w:val="single" w:sz="8" w:space="0" w:color="7E2125"/>
            </w:tcBorders>
            <w:shd w:val="clear" w:color="auto" w:fill="EDDDC7"/>
          </w:tcPr>
          <w:p w:rsidR="001C7691" w:rsidRPr="002511A1" w:rsidRDefault="004E5A4C" w:rsidP="00CC5BBC">
            <w:pPr>
              <w:spacing w:before="34" w:after="0" w:line="240" w:lineRule="auto"/>
              <w:ind w:left="7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OSIPTEL</w:t>
            </w:r>
          </w:p>
        </w:tc>
        <w:tc>
          <w:tcPr>
            <w:tcW w:w="1151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66</w:t>
            </w:r>
          </w:p>
        </w:tc>
        <w:tc>
          <w:tcPr>
            <w:tcW w:w="1508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before="15" w:after="0" w:line="240" w:lineRule="auto"/>
              <w:rPr>
                <w:sz w:val="28"/>
                <w:szCs w:val="28"/>
              </w:rPr>
            </w:pPr>
          </w:p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3</w:t>
            </w:r>
          </w:p>
        </w:tc>
      </w:tr>
      <w:tr w:rsidR="001C7691" w:rsidRPr="002511A1" w:rsidTr="0083198B">
        <w:trPr>
          <w:trHeight w:hRule="exact" w:val="280"/>
        </w:trPr>
        <w:tc>
          <w:tcPr>
            <w:tcW w:w="4631" w:type="dxa"/>
            <w:tcBorders>
              <w:top w:val="single" w:sz="8" w:space="0" w:color="7E2125"/>
              <w:bottom w:val="single" w:sz="8" w:space="0" w:color="7E2125"/>
            </w:tcBorders>
            <w:shd w:val="clear" w:color="auto" w:fill="EDDDC7"/>
          </w:tcPr>
          <w:p w:rsidR="001C7691" w:rsidRPr="002511A1" w:rsidRDefault="004E5A4C" w:rsidP="00CC5BBC">
            <w:pPr>
              <w:spacing w:before="34" w:after="0" w:line="240" w:lineRule="auto"/>
              <w:ind w:left="7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SUNAT</w:t>
            </w:r>
          </w:p>
        </w:tc>
        <w:tc>
          <w:tcPr>
            <w:tcW w:w="1151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left="6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910</w:t>
            </w:r>
          </w:p>
        </w:tc>
        <w:tc>
          <w:tcPr>
            <w:tcW w:w="1508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132</w:t>
            </w:r>
          </w:p>
        </w:tc>
        <w:tc>
          <w:tcPr>
            <w:tcW w:w="1517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13</w:t>
            </w:r>
          </w:p>
        </w:tc>
      </w:tr>
      <w:tr w:rsidR="001C7691" w:rsidRPr="002511A1" w:rsidTr="0083198B">
        <w:trPr>
          <w:trHeight w:hRule="exact" w:val="297"/>
        </w:trPr>
        <w:tc>
          <w:tcPr>
            <w:tcW w:w="4631" w:type="dxa"/>
            <w:tcBorders>
              <w:top w:val="single" w:sz="8" w:space="0" w:color="7E2125"/>
              <w:bottom w:val="single" w:sz="8" w:space="0" w:color="7E2125"/>
            </w:tcBorders>
            <w:shd w:val="clear" w:color="auto" w:fill="EDDDC7"/>
          </w:tcPr>
          <w:p w:rsidR="001C7691" w:rsidRPr="002511A1" w:rsidRDefault="0083198B" w:rsidP="00CC5BBC">
            <w:pPr>
              <w:spacing w:before="34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SUNARP</w:t>
            </w:r>
          </w:p>
        </w:tc>
        <w:tc>
          <w:tcPr>
            <w:tcW w:w="1151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left="6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962</w:t>
            </w:r>
          </w:p>
        </w:tc>
        <w:tc>
          <w:tcPr>
            <w:tcW w:w="1508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831</w:t>
            </w:r>
          </w:p>
        </w:tc>
        <w:tc>
          <w:tcPr>
            <w:tcW w:w="1517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64</w:t>
            </w:r>
          </w:p>
        </w:tc>
      </w:tr>
      <w:tr w:rsidR="001C7691" w:rsidRPr="002511A1" w:rsidTr="0083198B">
        <w:trPr>
          <w:trHeight w:hRule="exact" w:val="259"/>
        </w:trPr>
        <w:tc>
          <w:tcPr>
            <w:tcW w:w="4631" w:type="dxa"/>
            <w:tcBorders>
              <w:top w:val="single" w:sz="8" w:space="0" w:color="7E2125"/>
              <w:bottom w:val="single" w:sz="8" w:space="0" w:color="7E2125"/>
            </w:tcBorders>
            <w:shd w:val="clear" w:color="auto" w:fill="EDDDC7"/>
          </w:tcPr>
          <w:p w:rsidR="001C7691" w:rsidRPr="002511A1" w:rsidRDefault="0083198B" w:rsidP="00CC5BBC">
            <w:pPr>
              <w:spacing w:before="35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SBN</w:t>
            </w:r>
          </w:p>
        </w:tc>
        <w:tc>
          <w:tcPr>
            <w:tcW w:w="1151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left="678" w:right="-20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205</w:t>
            </w:r>
          </w:p>
        </w:tc>
        <w:tc>
          <w:tcPr>
            <w:tcW w:w="1508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57</w:t>
            </w:r>
          </w:p>
        </w:tc>
        <w:tc>
          <w:tcPr>
            <w:tcW w:w="1517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0</w:t>
            </w:r>
          </w:p>
        </w:tc>
      </w:tr>
      <w:tr w:rsidR="001C7691" w:rsidRPr="002511A1" w:rsidTr="0083198B">
        <w:trPr>
          <w:trHeight w:hRule="exact" w:val="291"/>
        </w:trPr>
        <w:tc>
          <w:tcPr>
            <w:tcW w:w="4631" w:type="dxa"/>
            <w:tcBorders>
              <w:top w:val="single" w:sz="8" w:space="0" w:color="7E2125"/>
              <w:bottom w:val="single" w:sz="8" w:space="0" w:color="7E2125"/>
            </w:tcBorders>
            <w:shd w:val="clear" w:color="auto" w:fill="EDDDC7"/>
          </w:tcPr>
          <w:p w:rsidR="001C7691" w:rsidRPr="002511A1" w:rsidRDefault="0083198B" w:rsidP="00CC5BBC">
            <w:pPr>
              <w:spacing w:before="35" w:after="0" w:line="240" w:lineRule="auto"/>
              <w:ind w:left="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SMV</w:t>
            </w:r>
          </w:p>
        </w:tc>
        <w:tc>
          <w:tcPr>
            <w:tcW w:w="1151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23</w:t>
            </w:r>
          </w:p>
        </w:tc>
        <w:tc>
          <w:tcPr>
            <w:tcW w:w="1508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single" w:sz="8" w:space="0" w:color="7E2125"/>
              <w:bottom w:val="single" w:sz="8" w:space="0" w:color="7E2125"/>
            </w:tcBorders>
          </w:tcPr>
          <w:p w:rsidR="001C7691" w:rsidRPr="002511A1" w:rsidRDefault="001C7691" w:rsidP="00CC5BBC">
            <w:pPr>
              <w:spacing w:after="0" w:line="240" w:lineRule="auto"/>
              <w:ind w:right="4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2511A1">
              <w:rPr>
                <w:rFonts w:ascii="Arial" w:eastAsia="Arial" w:hAnsi="Arial" w:cs="Arial"/>
                <w:w w:val="106"/>
                <w:sz w:val="20"/>
                <w:szCs w:val="20"/>
              </w:rPr>
              <w:t>0</w:t>
            </w:r>
          </w:p>
        </w:tc>
      </w:tr>
    </w:tbl>
    <w:p w:rsidR="001C7691" w:rsidRPr="002511A1" w:rsidRDefault="0083198B" w:rsidP="003C3D5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Fuente: </w:t>
      </w:r>
      <w:r w:rsidR="001C7691" w:rsidRPr="002511A1">
        <w:rPr>
          <w:rFonts w:ascii="Times New Roman" w:hAnsi="Times New Roman" w:cs="Times New Roman"/>
          <w:bCs/>
          <w:sz w:val="24"/>
          <w:szCs w:val="24"/>
        </w:rPr>
        <w:t>Consejo de Defensa Jurídica del Estado</w:t>
      </w:r>
    </w:p>
    <w:p w:rsidR="001C7691" w:rsidRPr="002511A1" w:rsidRDefault="001C7691" w:rsidP="003C3D5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1A1">
        <w:rPr>
          <w:rFonts w:ascii="Times New Roman" w:hAnsi="Times New Roman" w:cs="Times New Roman"/>
          <w:bCs/>
          <w:sz w:val="24"/>
          <w:szCs w:val="24"/>
        </w:rPr>
        <w:t xml:space="preserve">De la Tabla 2, </w:t>
      </w:r>
      <w:r w:rsidR="0083198B">
        <w:rPr>
          <w:rFonts w:ascii="Times New Roman" w:hAnsi="Times New Roman" w:cs="Times New Roman"/>
          <w:bCs/>
          <w:sz w:val="24"/>
          <w:szCs w:val="24"/>
        </w:rPr>
        <w:t>las cifras dan conocer que la mayor parte</w:t>
      </w:r>
      <w:r w:rsidR="0083198B" w:rsidRPr="002511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1A1">
        <w:rPr>
          <w:rFonts w:ascii="Times New Roman" w:hAnsi="Times New Roman" w:cs="Times New Roman"/>
          <w:bCs/>
          <w:sz w:val="24"/>
          <w:szCs w:val="24"/>
        </w:rPr>
        <w:t xml:space="preserve">de las sentencias </w:t>
      </w:r>
      <w:r w:rsidR="00EB63AC" w:rsidRPr="002511A1">
        <w:rPr>
          <w:rFonts w:ascii="Times New Roman" w:hAnsi="Times New Roman" w:cs="Times New Roman"/>
          <w:bCs/>
          <w:sz w:val="24"/>
          <w:szCs w:val="24"/>
        </w:rPr>
        <w:t>son favorables, donde denota en institucion</w:t>
      </w:r>
      <w:r w:rsidR="0083198B">
        <w:rPr>
          <w:rFonts w:ascii="Times New Roman" w:hAnsi="Times New Roman" w:cs="Times New Roman"/>
          <w:bCs/>
          <w:sz w:val="24"/>
          <w:szCs w:val="24"/>
        </w:rPr>
        <w:t xml:space="preserve">es como Ministerio de Trabajo, </w:t>
      </w:r>
      <w:r w:rsidR="0083198B" w:rsidRPr="002511A1">
        <w:rPr>
          <w:rFonts w:ascii="Times New Roman" w:hAnsi="Times New Roman" w:cs="Times New Roman"/>
          <w:bCs/>
          <w:sz w:val="24"/>
          <w:szCs w:val="24"/>
        </w:rPr>
        <w:t>Directiva</w:t>
      </w:r>
      <w:r w:rsidR="00EB63AC" w:rsidRPr="002511A1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="0083198B">
        <w:rPr>
          <w:rFonts w:ascii="Times New Roman" w:hAnsi="Times New Roman" w:cs="Times New Roman"/>
          <w:bCs/>
          <w:sz w:val="24"/>
          <w:szCs w:val="24"/>
        </w:rPr>
        <w:t>l</w:t>
      </w:r>
      <w:r w:rsidR="00EB63AC" w:rsidRPr="002511A1">
        <w:rPr>
          <w:rFonts w:ascii="Times New Roman" w:hAnsi="Times New Roman" w:cs="Times New Roman"/>
          <w:bCs/>
          <w:sz w:val="24"/>
          <w:szCs w:val="24"/>
        </w:rPr>
        <w:t xml:space="preserve"> Consejo, Marina de Guerra, </w:t>
      </w:r>
      <w:r w:rsidR="0083198B" w:rsidRPr="0083198B">
        <w:rPr>
          <w:rFonts w:ascii="Times New Roman" w:hAnsi="Times New Roman" w:cs="Times New Roman"/>
          <w:bCs/>
          <w:sz w:val="24"/>
          <w:szCs w:val="24"/>
        </w:rPr>
        <w:t>SERVIR</w:t>
      </w:r>
      <w:r w:rsidR="00EB63AC" w:rsidRPr="002511A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3198B" w:rsidRPr="0083198B">
        <w:rPr>
          <w:rFonts w:ascii="Times New Roman" w:hAnsi="Times New Roman" w:cs="Times New Roman"/>
          <w:bCs/>
          <w:sz w:val="24"/>
          <w:szCs w:val="24"/>
        </w:rPr>
        <w:t>FONDEPES</w:t>
      </w:r>
      <w:r w:rsidR="00EB63AC" w:rsidRPr="002511A1">
        <w:rPr>
          <w:rFonts w:ascii="Times New Roman" w:hAnsi="Times New Roman" w:cs="Times New Roman"/>
          <w:bCs/>
          <w:sz w:val="24"/>
          <w:szCs w:val="24"/>
        </w:rPr>
        <w:t>, Superintendencia Nacional de Adu</w:t>
      </w:r>
      <w:r w:rsidR="0083198B">
        <w:rPr>
          <w:rFonts w:ascii="Times New Roman" w:hAnsi="Times New Roman" w:cs="Times New Roman"/>
          <w:bCs/>
          <w:sz w:val="24"/>
          <w:szCs w:val="24"/>
        </w:rPr>
        <w:t>a</w:t>
      </w:r>
      <w:r w:rsidR="00EB63AC" w:rsidRPr="002511A1">
        <w:rPr>
          <w:rFonts w:ascii="Times New Roman" w:hAnsi="Times New Roman" w:cs="Times New Roman"/>
          <w:bCs/>
          <w:sz w:val="24"/>
          <w:szCs w:val="24"/>
        </w:rPr>
        <w:t xml:space="preserve">nas y Administración Tributaria y otros, mientras que sentencias desfavorables comprende a entidades de Ministerio de vivienda, Ejercito del Perú y Ministerio de Transportes. </w:t>
      </w:r>
    </w:p>
    <w:p w:rsidR="001C7691" w:rsidRPr="002511A1" w:rsidRDefault="00EB61F2" w:rsidP="003C3D5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1A1">
        <w:rPr>
          <w:rFonts w:ascii="Arial" w:hAnsi="Arial" w:cs="Arial"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67456" behindDoc="1" locked="0" layoutInCell="1" allowOverlap="1" wp14:anchorId="6619F8F6" wp14:editId="0D70DC52">
            <wp:simplePos x="0" y="0"/>
            <wp:positionH relativeFrom="margin">
              <wp:posOffset>253365</wp:posOffset>
            </wp:positionH>
            <wp:positionV relativeFrom="paragraph">
              <wp:posOffset>362585</wp:posOffset>
            </wp:positionV>
            <wp:extent cx="5217160" cy="3036570"/>
            <wp:effectExtent l="0" t="0" r="2540" b="0"/>
            <wp:wrapTight wrapText="bothSides">
              <wp:wrapPolygon edited="0">
                <wp:start x="0" y="0"/>
                <wp:lineTo x="0" y="21410"/>
                <wp:lineTo x="21532" y="21410"/>
                <wp:lineTo x="21532" y="0"/>
                <wp:lineTo x="0" y="0"/>
              </wp:wrapPolygon>
            </wp:wrapTight>
            <wp:docPr id="7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C9C8C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1" t="44448" r="49507" b="15545"/>
                    <a:stretch/>
                  </pic:blipFill>
                  <pic:spPr bwMode="auto">
                    <a:xfrm>
                      <a:off x="0" y="0"/>
                      <a:ext cx="5217160" cy="3036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1A1">
        <w:rPr>
          <w:rFonts w:ascii="Times New Roman" w:hAnsi="Times New Roman" w:cs="Times New Roman"/>
          <w:bCs/>
          <w:sz w:val="24"/>
          <w:szCs w:val="24"/>
        </w:rPr>
        <w:t xml:space="preserve">Figura 4, casos distribuidos en entidades </w:t>
      </w:r>
    </w:p>
    <w:p w:rsidR="00EB61F2" w:rsidRPr="002511A1" w:rsidRDefault="00EB61F2" w:rsidP="003C3D5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1A1">
        <w:rPr>
          <w:rFonts w:ascii="Times New Roman" w:hAnsi="Times New Roman" w:cs="Times New Roman"/>
          <w:bCs/>
          <w:sz w:val="24"/>
          <w:szCs w:val="24"/>
        </w:rPr>
        <w:t xml:space="preserve">Fuente: </w:t>
      </w:r>
      <w:r w:rsidRPr="002511A1">
        <w:rPr>
          <w:rFonts w:ascii="Arial" w:hAnsi="Arial" w:cs="Arial"/>
          <w:b/>
          <w:sz w:val="20"/>
        </w:rPr>
        <w:t>Elaboración Propia</w:t>
      </w:r>
      <w:r w:rsidRPr="002511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61F2" w:rsidRPr="002511A1" w:rsidRDefault="00EB61F2" w:rsidP="003C3D5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1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De la Figura 4, de los resultados se infiere que en un 44% de casos se encuentra en la fiscalía en proceso de investigación, mientras que el 29% se ubica en la procuraduría en procesos de diligencia preliminar, en un 17% de los casos fueron archivados, mientras que el 10% se encuentran en el órgano judicial.   </w:t>
      </w:r>
    </w:p>
    <w:p w:rsidR="001C7691" w:rsidRDefault="001C7691" w:rsidP="003C3D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1A1">
        <w:rPr>
          <w:rFonts w:ascii="Times New Roman" w:hAnsi="Times New Roman" w:cs="Times New Roman"/>
          <w:b/>
          <w:sz w:val="24"/>
          <w:szCs w:val="24"/>
        </w:rPr>
        <w:t xml:space="preserve">Conclusión </w:t>
      </w:r>
    </w:p>
    <w:p w:rsidR="002511A1" w:rsidRDefault="005E3BE0" w:rsidP="003C3D5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1A1">
        <w:rPr>
          <w:rFonts w:ascii="Times New Roman" w:hAnsi="Times New Roman" w:cs="Times New Roman"/>
          <w:bCs/>
          <w:sz w:val="24"/>
          <w:szCs w:val="24"/>
        </w:rPr>
        <w:t>La procuraduría publica defiende al colectivo</w:t>
      </w:r>
      <w:r w:rsidR="005B6B8C">
        <w:rPr>
          <w:rFonts w:ascii="Times New Roman" w:hAnsi="Times New Roman" w:cs="Times New Roman"/>
          <w:bCs/>
          <w:sz w:val="24"/>
          <w:szCs w:val="24"/>
        </w:rPr>
        <w:t xml:space="preserve"> del Estado, debido a que esta c</w:t>
      </w:r>
      <w:r w:rsidRPr="002511A1">
        <w:rPr>
          <w:rFonts w:ascii="Times New Roman" w:hAnsi="Times New Roman" w:cs="Times New Roman"/>
          <w:bCs/>
          <w:sz w:val="24"/>
          <w:szCs w:val="24"/>
        </w:rPr>
        <w:t xml:space="preserve">ela por </w:t>
      </w:r>
      <w:r w:rsidR="005B6B8C">
        <w:rPr>
          <w:rFonts w:ascii="Times New Roman" w:hAnsi="Times New Roman" w:cs="Times New Roman"/>
          <w:bCs/>
          <w:sz w:val="24"/>
          <w:szCs w:val="24"/>
        </w:rPr>
        <w:t>el interés del Estado</w:t>
      </w:r>
      <w:r w:rsidR="005B6B8C" w:rsidRPr="005B6B8C">
        <w:rPr>
          <w:rFonts w:ascii="Times New Roman" w:hAnsi="Times New Roman" w:cs="Times New Roman"/>
          <w:bCs/>
          <w:sz w:val="24"/>
          <w:szCs w:val="24"/>
        </w:rPr>
        <w:t xml:space="preserve">, en la protección y vigilancia de los </w:t>
      </w:r>
      <w:r w:rsidR="005B6B8C" w:rsidRPr="00340839">
        <w:rPr>
          <w:rFonts w:ascii="Times New Roman" w:hAnsi="Times New Roman" w:cs="Times New Roman"/>
          <w:bCs/>
          <w:sz w:val="24"/>
          <w:szCs w:val="24"/>
        </w:rPr>
        <w:t xml:space="preserve">delitos. </w:t>
      </w:r>
      <w:r w:rsidRPr="00340839">
        <w:rPr>
          <w:rFonts w:ascii="Times New Roman" w:hAnsi="Times New Roman" w:cs="Times New Roman"/>
          <w:bCs/>
          <w:sz w:val="24"/>
          <w:szCs w:val="24"/>
        </w:rPr>
        <w:t xml:space="preserve">Por consiguiente, </w:t>
      </w:r>
      <w:r w:rsidR="00340839" w:rsidRPr="00340839">
        <w:rPr>
          <w:rFonts w:ascii="Times New Roman" w:hAnsi="Times New Roman" w:cs="Times New Roman"/>
          <w:bCs/>
          <w:sz w:val="24"/>
          <w:szCs w:val="24"/>
        </w:rPr>
        <w:t>la procuraduría es un instrumento fundamental en contra de la corrupción, con la finalidad de contrarrestar y mejorar la efectividad del procedimiento en la sanción que deberían recibir quienes cometen el acto de corrupción.</w:t>
      </w:r>
      <w:r w:rsidR="003408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0839" w:rsidRDefault="002511A1" w:rsidP="003C3D5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1A1">
        <w:rPr>
          <w:rFonts w:ascii="Times New Roman" w:hAnsi="Times New Roman" w:cs="Times New Roman"/>
          <w:bCs/>
          <w:sz w:val="24"/>
          <w:szCs w:val="24"/>
        </w:rPr>
        <w:t>La defensa de</w:t>
      </w:r>
      <w:r w:rsidR="00340839">
        <w:rPr>
          <w:rFonts w:ascii="Times New Roman" w:hAnsi="Times New Roman" w:cs="Times New Roman"/>
          <w:bCs/>
          <w:sz w:val="24"/>
          <w:szCs w:val="24"/>
        </w:rPr>
        <w:t>l Estado a nivel social, económico, gubernamental concierne a toda la población peruana, puesto que la inestabilidad en alguno de los enfoques conllevaría a que se desencadene la inestabilidad en el país.</w:t>
      </w:r>
    </w:p>
    <w:p w:rsidR="003C3D50" w:rsidRPr="002511A1" w:rsidRDefault="001C7691" w:rsidP="003C3D5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1A1">
        <w:rPr>
          <w:rFonts w:ascii="Times New Roman" w:hAnsi="Times New Roman" w:cs="Times New Roman"/>
          <w:b/>
          <w:bCs/>
          <w:sz w:val="24"/>
          <w:szCs w:val="24"/>
        </w:rPr>
        <w:t xml:space="preserve">Referencia bibliográfica </w:t>
      </w:r>
    </w:p>
    <w:p w:rsidR="00F34F2B" w:rsidRPr="0093302B" w:rsidRDefault="00F34F2B" w:rsidP="00415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Aranzamendi</w:t>
      </w:r>
      <w:proofErr w:type="spellEnd"/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Ninacondor</w:t>
      </w:r>
      <w:proofErr w:type="spellEnd"/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L.  </w:t>
      </w:r>
      <w:r w:rsidRPr="009F1E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Diseño y Proceso de la Investigación Jurídica</w:t>
      </w:r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Editorial ADRUS, 1ra Edición 2005.</w:t>
      </w:r>
    </w:p>
    <w:p w:rsidR="00F34F2B" w:rsidRPr="0093302B" w:rsidRDefault="00F34F2B" w:rsidP="00415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Aranzamendi</w:t>
      </w:r>
      <w:proofErr w:type="spellEnd"/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Ninacondor</w:t>
      </w:r>
      <w:proofErr w:type="spellEnd"/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L. (2009) </w:t>
      </w:r>
      <w:r w:rsidRPr="009F1E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Guía Metodológica de Investigación Jurídica</w:t>
      </w:r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ADRUS. </w:t>
      </w:r>
    </w:p>
    <w:p w:rsidR="00F34F2B" w:rsidRPr="0093302B" w:rsidRDefault="00F34F2B" w:rsidP="00415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</w:pPr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  <w:t xml:space="preserve">De Canales, F. H.; De Alvarado, E. L.  y Pineda, Y E. (1986). </w:t>
      </w:r>
      <w:r w:rsidRPr="009F1E2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s-ES" w:eastAsia="es-ES"/>
        </w:rPr>
        <w:t>Metodología de la Investigación</w:t>
      </w:r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  <w:t>. Limusa.</w:t>
      </w:r>
    </w:p>
    <w:p w:rsidR="00F34F2B" w:rsidRPr="0093302B" w:rsidRDefault="00F34F2B" w:rsidP="0041524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Decreto legislativo 1068, </w:t>
      </w:r>
      <w:r w:rsidRPr="009F1E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creador del Sistema de Defensa Jurídica del Estado Peruano</w:t>
      </w:r>
      <w:r w:rsidR="009F1E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27 de diciembre del 2008.</w:t>
      </w:r>
    </w:p>
    <w:p w:rsidR="00F34F2B" w:rsidRPr="0093302B" w:rsidRDefault="00F34F2B" w:rsidP="004152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Levano</w:t>
      </w:r>
      <w:proofErr w:type="spellEnd"/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Veliz, P. E. (</w:t>
      </w:r>
      <w:proofErr w:type="spellStart"/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s.f</w:t>
      </w:r>
      <w:proofErr w:type="spellEnd"/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),</w:t>
      </w:r>
      <w:r w:rsidRPr="009330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</w:t>
      </w:r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Génesis y Evolución del Ministerio Publico</w:t>
      </w:r>
    </w:p>
    <w:p w:rsidR="00F34F2B" w:rsidRPr="0093302B" w:rsidRDefault="00F34F2B" w:rsidP="00415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</w:pPr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  <w:t xml:space="preserve">Martínez, M. M. (2006) </w:t>
      </w:r>
      <w:r w:rsidRPr="0093302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s-ES" w:eastAsia="es-ES"/>
        </w:rPr>
        <w:t>La Investigación Cualitativa</w:t>
      </w:r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 w:eastAsia="es-ES"/>
        </w:rPr>
        <w:t xml:space="preserve"> (Síntesis Conceptual). Revista de Investigación en Psicología. IIPSI, Facultad de Psicología UNMSM. Vol. 9 - Nº 1.</w:t>
      </w:r>
    </w:p>
    <w:p w:rsidR="00F34F2B" w:rsidRPr="0093302B" w:rsidRDefault="00F34F2B" w:rsidP="00415248">
      <w:pPr>
        <w:pStyle w:val="Textonotapie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Núñez Sánchez J. (2008). </w:t>
      </w:r>
      <w:r w:rsidRPr="009330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Historia de la Procuraduría General del Estado</w:t>
      </w:r>
    </w:p>
    <w:p w:rsidR="00F34F2B" w:rsidRPr="0093302B" w:rsidRDefault="00F34F2B" w:rsidP="0041524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Revista Jurídica del Concejo de Defensa Jurídica del Estado (2014.) Nº 3, Lima; Perú.</w:t>
      </w:r>
    </w:p>
    <w:p w:rsidR="00B23067" w:rsidRDefault="00F34F2B" w:rsidP="002833A9">
      <w:pPr>
        <w:pStyle w:val="Textonotapie"/>
        <w:spacing w:line="360" w:lineRule="auto"/>
        <w:rPr>
          <w:rStyle w:val="Hipervnculo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Pablo Vicente</w:t>
      </w:r>
      <w:r w:rsidR="002511A1" w:rsidRPr="00933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R. (</w:t>
      </w:r>
      <w:proofErr w:type="spellStart"/>
      <w:r w:rsidR="002511A1" w:rsidRPr="00933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s.f</w:t>
      </w:r>
      <w:proofErr w:type="spellEnd"/>
      <w:r w:rsidR="002511A1" w:rsidRPr="00933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  <w:r w:rsidRPr="00933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330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Procurador de los tribunales en </w:t>
      </w:r>
      <w:proofErr w:type="spellStart"/>
      <w:r w:rsidRPr="009330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Castellon</w:t>
      </w:r>
      <w:proofErr w:type="spellEnd"/>
      <w:r w:rsidRPr="009330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hyperlink r:id="rId13" w:history="1">
        <w:r w:rsidRPr="0093302B">
          <w:rPr>
            <w:rStyle w:val="Hipervnculo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http://www.iuspostulandi.com/?q=elprocurador</w:t>
        </w:r>
      </w:hyperlink>
    </w:p>
    <w:p w:rsidR="009F1E23" w:rsidRPr="0093302B" w:rsidRDefault="009F1E23" w:rsidP="002833A9">
      <w:pPr>
        <w:pStyle w:val="Textonotapi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1E23">
        <w:rPr>
          <w:rFonts w:ascii="Times New Roman" w:hAnsi="Times New Roman" w:cs="Times New Roman"/>
          <w:b/>
          <w:sz w:val="24"/>
          <w:szCs w:val="24"/>
        </w:rPr>
        <w:t>Sampieri</w:t>
      </w:r>
      <w:proofErr w:type="spellEnd"/>
      <w:r w:rsidRPr="009F1E23">
        <w:rPr>
          <w:rFonts w:ascii="Times New Roman" w:hAnsi="Times New Roman" w:cs="Times New Roman"/>
          <w:b/>
          <w:sz w:val="24"/>
          <w:szCs w:val="24"/>
        </w:rPr>
        <w:t xml:space="preserve">, Roberto. </w:t>
      </w:r>
      <w:r w:rsidRPr="009F1E23">
        <w:rPr>
          <w:rFonts w:ascii="Times New Roman" w:hAnsi="Times New Roman" w:cs="Times New Roman"/>
          <w:b/>
          <w:i/>
          <w:sz w:val="24"/>
          <w:szCs w:val="24"/>
        </w:rPr>
        <w:t>Metodología de la investigación</w:t>
      </w:r>
      <w:r w:rsidRPr="009F1E23">
        <w:rPr>
          <w:rFonts w:ascii="Times New Roman" w:hAnsi="Times New Roman" w:cs="Times New Roman"/>
          <w:b/>
          <w:sz w:val="24"/>
          <w:szCs w:val="24"/>
        </w:rPr>
        <w:t>. McGraw-Hill. Cuarta edición. 2006. p.3-26.</w:t>
      </w:r>
    </w:p>
    <w:sectPr w:rsidR="009F1E23" w:rsidRPr="0093302B" w:rsidSect="003C3D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A2" w:rsidRDefault="00906DA2" w:rsidP="003C3D50">
      <w:pPr>
        <w:spacing w:after="0" w:line="240" w:lineRule="auto"/>
      </w:pPr>
      <w:r>
        <w:separator/>
      </w:r>
    </w:p>
  </w:endnote>
  <w:endnote w:type="continuationSeparator" w:id="0">
    <w:p w:rsidR="00906DA2" w:rsidRDefault="00906DA2" w:rsidP="003C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A2" w:rsidRDefault="00906DA2" w:rsidP="003C3D50">
      <w:pPr>
        <w:spacing w:after="0" w:line="240" w:lineRule="auto"/>
      </w:pPr>
      <w:r>
        <w:separator/>
      </w:r>
    </w:p>
  </w:footnote>
  <w:footnote w:type="continuationSeparator" w:id="0">
    <w:p w:rsidR="00906DA2" w:rsidRDefault="00906DA2" w:rsidP="003C3D50">
      <w:pPr>
        <w:spacing w:after="0" w:line="240" w:lineRule="auto"/>
      </w:pPr>
      <w:r>
        <w:continuationSeparator/>
      </w:r>
    </w:p>
  </w:footnote>
  <w:footnote w:id="1">
    <w:p w:rsidR="003C3D50" w:rsidRDefault="003C3D50">
      <w:pPr>
        <w:pStyle w:val="Textonotapie"/>
      </w:pPr>
      <w:r>
        <w:rPr>
          <w:rStyle w:val="Refdenotaalpie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50"/>
    <w:rsid w:val="000C1F06"/>
    <w:rsid w:val="00101151"/>
    <w:rsid w:val="0015201F"/>
    <w:rsid w:val="001C7691"/>
    <w:rsid w:val="001E005E"/>
    <w:rsid w:val="00244E8C"/>
    <w:rsid w:val="002511A1"/>
    <w:rsid w:val="002833A9"/>
    <w:rsid w:val="002A0B76"/>
    <w:rsid w:val="00340839"/>
    <w:rsid w:val="0038075F"/>
    <w:rsid w:val="00387130"/>
    <w:rsid w:val="00392C50"/>
    <w:rsid w:val="003C3D50"/>
    <w:rsid w:val="00415248"/>
    <w:rsid w:val="0042640D"/>
    <w:rsid w:val="00454767"/>
    <w:rsid w:val="004B2932"/>
    <w:rsid w:val="004D1949"/>
    <w:rsid w:val="004E5A4C"/>
    <w:rsid w:val="005014E8"/>
    <w:rsid w:val="005521DA"/>
    <w:rsid w:val="00560495"/>
    <w:rsid w:val="00565A84"/>
    <w:rsid w:val="005B6B8C"/>
    <w:rsid w:val="005E3BE0"/>
    <w:rsid w:val="005F220F"/>
    <w:rsid w:val="005F6D53"/>
    <w:rsid w:val="00615F77"/>
    <w:rsid w:val="006954E2"/>
    <w:rsid w:val="00732EBF"/>
    <w:rsid w:val="007C17BE"/>
    <w:rsid w:val="008227FF"/>
    <w:rsid w:val="0083198B"/>
    <w:rsid w:val="00863925"/>
    <w:rsid w:val="008D425D"/>
    <w:rsid w:val="00906DA2"/>
    <w:rsid w:val="0093302B"/>
    <w:rsid w:val="00954E58"/>
    <w:rsid w:val="00972140"/>
    <w:rsid w:val="009B0FF8"/>
    <w:rsid w:val="009F1E23"/>
    <w:rsid w:val="00AD28DA"/>
    <w:rsid w:val="00B161FE"/>
    <w:rsid w:val="00B23067"/>
    <w:rsid w:val="00B24B08"/>
    <w:rsid w:val="00B83C14"/>
    <w:rsid w:val="00C44992"/>
    <w:rsid w:val="00D01D02"/>
    <w:rsid w:val="00E06010"/>
    <w:rsid w:val="00E91B1F"/>
    <w:rsid w:val="00EB56DD"/>
    <w:rsid w:val="00EB61F2"/>
    <w:rsid w:val="00EB63AC"/>
    <w:rsid w:val="00F34F2B"/>
    <w:rsid w:val="00F376FA"/>
    <w:rsid w:val="00F9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4AF21"/>
  <w15:chartTrackingRefBased/>
  <w15:docId w15:val="{A08AE388-7F78-4F73-A3A8-6A2BCA35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1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nhideWhenUsed/>
    <w:rsid w:val="003C3D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C3D5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3D5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91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iuspostulandi.com/?q=elprocurad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11176-2BD2-4521-858B-52CCF668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1859</Words>
  <Characters>10228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</dc:creator>
  <cp:keywords/>
  <dc:description/>
  <cp:lastModifiedBy>Usuario de Windows</cp:lastModifiedBy>
  <cp:revision>17</cp:revision>
  <dcterms:created xsi:type="dcterms:W3CDTF">2022-11-11T13:11:00Z</dcterms:created>
  <dcterms:modified xsi:type="dcterms:W3CDTF">2023-01-19T01:14:00Z</dcterms:modified>
</cp:coreProperties>
</file>